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5289" w14:textId="488C882F" w:rsidR="005C5D9F" w:rsidRPr="00392643" w:rsidRDefault="00392643" w:rsidP="005C5D9F">
      <w:pPr>
        <w:spacing w:after="120" w:line="288" w:lineRule="auto"/>
        <w:jc w:val="center"/>
        <w:rPr>
          <w:rFonts w:ascii="Maax" w:hAnsi="Maax" w:cs="Arial"/>
          <w:b/>
          <w:bCs/>
          <w:color w:val="73B967"/>
          <w:sz w:val="28"/>
          <w:szCs w:val="28"/>
        </w:rPr>
      </w:pPr>
      <w:r w:rsidRPr="00392643">
        <w:rPr>
          <w:rFonts w:ascii="Maax" w:hAnsi="Maax"/>
          <w:b/>
          <w:bCs/>
          <w:color w:val="73B967"/>
          <w:sz w:val="28"/>
          <w:szCs w:val="28"/>
        </w:rPr>
        <w:t>La prima rete di ricarica rapida 100% integrata con rinnovabili, stoccaggio di energia e</w:t>
      </w:r>
      <w:r w:rsidR="00EF78FF" w:rsidRPr="00392643">
        <w:rPr>
          <w:rFonts w:ascii="Maax" w:hAnsi="Maax"/>
          <w:b/>
          <w:bCs/>
          <w:color w:val="73B967"/>
          <w:sz w:val="28"/>
          <w:szCs w:val="28"/>
        </w:rPr>
        <w:t xml:space="preserve"> </w:t>
      </w:r>
      <w:r w:rsidRPr="00392643">
        <w:rPr>
          <w:rFonts w:ascii="Maax" w:hAnsi="Maax"/>
          <w:b/>
          <w:bCs/>
          <w:color w:val="73B967"/>
          <w:sz w:val="28"/>
          <w:szCs w:val="28"/>
        </w:rPr>
        <w:t>la rete elettrica</w:t>
      </w:r>
    </w:p>
    <w:p w14:paraId="0C7325B0" w14:textId="78475901" w:rsidR="003C1367" w:rsidRPr="00392643" w:rsidRDefault="00085A23" w:rsidP="000822B8">
      <w:pPr>
        <w:spacing w:after="120" w:line="288" w:lineRule="auto"/>
        <w:jc w:val="center"/>
        <w:rPr>
          <w:rFonts w:ascii="Maax" w:hAnsi="Maax" w:cs="Arial"/>
          <w:b/>
          <w:bCs/>
          <w:color w:val="383836"/>
          <w:sz w:val="28"/>
          <w:szCs w:val="28"/>
        </w:rPr>
      </w:pPr>
      <w:r w:rsidRPr="00392643">
        <w:rPr>
          <w:rFonts w:ascii="Maax" w:hAnsi="Maax"/>
          <w:b/>
          <w:bCs/>
          <w:color w:val="383836"/>
          <w:sz w:val="20"/>
          <w:szCs w:val="20"/>
        </w:rPr>
        <w:t xml:space="preserve">Una rete </w:t>
      </w:r>
      <w:r w:rsidR="00884249" w:rsidRPr="00392643">
        <w:rPr>
          <w:rFonts w:ascii="Maax" w:hAnsi="Maax"/>
          <w:b/>
          <w:bCs/>
          <w:color w:val="383836"/>
          <w:sz w:val="20"/>
          <w:szCs w:val="20"/>
        </w:rPr>
        <w:t>di ricarica</w:t>
      </w:r>
      <w:r w:rsidR="00B70FE7" w:rsidRPr="00392643">
        <w:rPr>
          <w:rFonts w:ascii="Maax" w:hAnsi="Maax"/>
          <w:b/>
          <w:bCs/>
          <w:color w:val="383836"/>
          <w:sz w:val="20"/>
          <w:szCs w:val="20"/>
        </w:rPr>
        <w:t xml:space="preserve"> </w:t>
      </w:r>
      <w:r w:rsidRPr="00392643">
        <w:rPr>
          <w:rFonts w:ascii="Maax" w:hAnsi="Maax"/>
          <w:b/>
          <w:bCs/>
          <w:color w:val="383836"/>
          <w:sz w:val="20"/>
          <w:szCs w:val="20"/>
        </w:rPr>
        <w:t>aperta</w:t>
      </w:r>
      <w:r w:rsidR="00B70FE7" w:rsidRPr="00392643">
        <w:rPr>
          <w:rFonts w:ascii="Maax" w:hAnsi="Maax"/>
          <w:b/>
          <w:bCs/>
          <w:color w:val="383836"/>
          <w:sz w:val="20"/>
          <w:szCs w:val="20"/>
        </w:rPr>
        <w:t xml:space="preserve"> a tutti</w:t>
      </w:r>
      <w:r w:rsidRPr="00392643">
        <w:rPr>
          <w:rFonts w:ascii="Maax" w:hAnsi="Maax"/>
          <w:b/>
          <w:bCs/>
          <w:color w:val="383836"/>
          <w:sz w:val="20"/>
          <w:szCs w:val="20"/>
        </w:rPr>
        <w:t xml:space="preserve">, con accesso privilegiato per i clienti </w:t>
      </w:r>
      <w:proofErr w:type="spellStart"/>
      <w:r w:rsidRPr="00392643">
        <w:rPr>
          <w:rFonts w:ascii="Maax" w:hAnsi="Maax"/>
          <w:b/>
          <w:bCs/>
          <w:color w:val="383836"/>
          <w:sz w:val="20"/>
          <w:szCs w:val="20"/>
        </w:rPr>
        <w:t>Stellantis</w:t>
      </w:r>
      <w:proofErr w:type="spellEnd"/>
      <w:r w:rsidRPr="00392643">
        <w:rPr>
          <w:rFonts w:ascii="Maax" w:hAnsi="Maax"/>
          <w:b/>
          <w:bCs/>
          <w:color w:val="383836"/>
          <w:sz w:val="20"/>
          <w:szCs w:val="20"/>
        </w:rPr>
        <w:t xml:space="preserve">, </w:t>
      </w:r>
      <w:r w:rsidR="00884249" w:rsidRPr="00392643">
        <w:rPr>
          <w:rFonts w:ascii="Maax" w:hAnsi="Maax"/>
          <w:b/>
          <w:bCs/>
          <w:color w:val="383836"/>
          <w:sz w:val="20"/>
          <w:szCs w:val="20"/>
        </w:rPr>
        <w:t>con l’obiettivo di</w:t>
      </w:r>
      <w:r w:rsidR="0095445C" w:rsidRPr="00392643">
        <w:rPr>
          <w:rFonts w:ascii="Maax" w:hAnsi="Maax"/>
          <w:b/>
          <w:bCs/>
          <w:color w:val="383836"/>
          <w:sz w:val="20"/>
          <w:szCs w:val="20"/>
        </w:rPr>
        <w:t xml:space="preserve"> diventare</w:t>
      </w:r>
      <w:r w:rsidRPr="00392643">
        <w:rPr>
          <w:rFonts w:ascii="Maax" w:hAnsi="Maax"/>
          <w:b/>
          <w:bCs/>
          <w:color w:val="383836"/>
          <w:sz w:val="20"/>
          <w:szCs w:val="20"/>
        </w:rPr>
        <w:t xml:space="preserve"> la più ampia rete di ricarica </w:t>
      </w:r>
      <w:r w:rsidR="003570F2" w:rsidRPr="00392643">
        <w:rPr>
          <w:rFonts w:ascii="Maax" w:hAnsi="Maax"/>
          <w:b/>
          <w:bCs/>
          <w:color w:val="383836"/>
          <w:sz w:val="20"/>
          <w:szCs w:val="20"/>
        </w:rPr>
        <w:t xml:space="preserve">rapida </w:t>
      </w:r>
      <w:r w:rsidR="00C7320C" w:rsidRPr="00392643">
        <w:rPr>
          <w:rFonts w:ascii="Maax" w:hAnsi="Maax"/>
          <w:b/>
          <w:bCs/>
          <w:color w:val="383836"/>
          <w:sz w:val="20"/>
          <w:szCs w:val="20"/>
        </w:rPr>
        <w:t>d</w:t>
      </w:r>
      <w:r w:rsidR="00B70FE7" w:rsidRPr="00392643">
        <w:rPr>
          <w:rFonts w:ascii="Maax" w:hAnsi="Maax"/>
          <w:b/>
          <w:bCs/>
          <w:color w:val="383836"/>
          <w:sz w:val="20"/>
          <w:szCs w:val="20"/>
        </w:rPr>
        <w:t>el</w:t>
      </w:r>
      <w:r w:rsidR="00884249" w:rsidRPr="00392643">
        <w:rPr>
          <w:rFonts w:ascii="Maax" w:hAnsi="Maax"/>
          <w:b/>
          <w:bCs/>
          <w:color w:val="383836"/>
          <w:sz w:val="20"/>
          <w:szCs w:val="20"/>
        </w:rPr>
        <w:t xml:space="preserve"> Sud Europa</w:t>
      </w:r>
    </w:p>
    <w:p w14:paraId="2CE97873" w14:textId="6722A54B" w:rsidR="00895E9F" w:rsidRPr="00392643" w:rsidRDefault="003C1367" w:rsidP="000B2DFB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b/>
          <w:bCs/>
          <w:sz w:val="20"/>
          <w:szCs w:val="20"/>
        </w:rPr>
        <w:t>Parigi, 23 luglio 2021</w:t>
      </w:r>
      <w:r w:rsidRPr="00392643">
        <w:rPr>
          <w:rFonts w:ascii="Maax" w:hAnsi="Maax"/>
          <w:sz w:val="20"/>
          <w:szCs w:val="20"/>
        </w:rPr>
        <w:t xml:space="preserve"> – Nel contesto del Masterplan10x</w:t>
      </w:r>
      <w:r w:rsidR="0073411D" w:rsidRPr="00392643">
        <w:rPr>
          <w:rFonts w:ascii="Maax" w:hAnsi="Maax"/>
          <w:sz w:val="20"/>
          <w:szCs w:val="20"/>
        </w:rPr>
        <w:t xml:space="preserve"> e</w:t>
      </w:r>
      <w:r w:rsidRPr="00392643">
        <w:rPr>
          <w:rFonts w:ascii="Maax" w:hAnsi="Maax"/>
          <w:sz w:val="20"/>
          <w:szCs w:val="20"/>
        </w:rPr>
        <w:t xml:space="preserve"> delle Ambizioni Strategiche </w:t>
      </w:r>
      <w:r w:rsidR="0027247B" w:rsidRPr="00392643">
        <w:rPr>
          <w:rFonts w:ascii="Maax" w:hAnsi="Maax"/>
          <w:sz w:val="20"/>
          <w:szCs w:val="20"/>
        </w:rPr>
        <w:t xml:space="preserve">annunciate </w:t>
      </w:r>
      <w:r w:rsidRPr="00392643">
        <w:rPr>
          <w:rFonts w:ascii="Maax" w:hAnsi="Maax"/>
          <w:sz w:val="20"/>
          <w:szCs w:val="20"/>
        </w:rPr>
        <w:t>da NHOA in data odierna</w:t>
      </w:r>
      <w:r w:rsidR="00392643">
        <w:rPr>
          <w:rFonts w:ascii="Maax" w:hAnsi="Maax"/>
          <w:sz w:val="20"/>
          <w:szCs w:val="20"/>
        </w:rPr>
        <w:t xml:space="preserve"> </w:t>
      </w:r>
      <w:r w:rsidRPr="00392643">
        <w:rPr>
          <w:rFonts w:ascii="Maax" w:hAnsi="Maax"/>
          <w:sz w:val="20"/>
          <w:szCs w:val="20"/>
        </w:rPr>
        <w:t xml:space="preserve">e dell’approvazione del Consiglio di Amministrazione di Free2Move </w:t>
      </w:r>
      <w:proofErr w:type="spellStart"/>
      <w:r w:rsidRPr="00392643">
        <w:rPr>
          <w:rFonts w:ascii="Maax" w:hAnsi="Maax"/>
          <w:sz w:val="20"/>
          <w:szCs w:val="20"/>
        </w:rPr>
        <w:t>eSolutions</w:t>
      </w:r>
      <w:proofErr w:type="spellEnd"/>
      <w:r w:rsidRPr="00392643">
        <w:rPr>
          <w:rFonts w:ascii="Maax" w:hAnsi="Maax"/>
          <w:sz w:val="20"/>
          <w:szCs w:val="20"/>
        </w:rPr>
        <w:t xml:space="preserve">, </w:t>
      </w:r>
      <w:proofErr w:type="spellStart"/>
      <w:r w:rsidRPr="00392643">
        <w:rPr>
          <w:rFonts w:ascii="Maax" w:hAnsi="Maax"/>
          <w:sz w:val="20"/>
          <w:szCs w:val="20"/>
        </w:rPr>
        <w:t>Carlalberto</w:t>
      </w:r>
      <w:proofErr w:type="spellEnd"/>
      <w:r w:rsidRPr="00392643">
        <w:rPr>
          <w:rFonts w:ascii="Maax" w:hAnsi="Maax"/>
          <w:sz w:val="20"/>
          <w:szCs w:val="20"/>
        </w:rPr>
        <w:t xml:space="preserve"> </w:t>
      </w:r>
      <w:proofErr w:type="spellStart"/>
      <w:r w:rsidRPr="00392643">
        <w:rPr>
          <w:rFonts w:ascii="Maax" w:hAnsi="Maax"/>
          <w:sz w:val="20"/>
          <w:szCs w:val="20"/>
        </w:rPr>
        <w:t>Guglielminotti</w:t>
      </w:r>
      <w:proofErr w:type="spellEnd"/>
      <w:r w:rsidRPr="00392643">
        <w:rPr>
          <w:rFonts w:ascii="Maax" w:hAnsi="Maax"/>
          <w:sz w:val="20"/>
          <w:szCs w:val="20"/>
        </w:rPr>
        <w:t xml:space="preserve">, Amministratore Delegato di NHOA e </w:t>
      </w:r>
      <w:r w:rsidR="005A41F7" w:rsidRPr="00392643">
        <w:rPr>
          <w:rFonts w:ascii="Maax" w:hAnsi="Maax"/>
          <w:sz w:val="20"/>
          <w:szCs w:val="20"/>
        </w:rPr>
        <w:t>Executive Chairman</w:t>
      </w:r>
      <w:r w:rsidRPr="00392643">
        <w:rPr>
          <w:rFonts w:ascii="Maax" w:hAnsi="Maax"/>
          <w:sz w:val="20"/>
          <w:szCs w:val="20"/>
        </w:rPr>
        <w:t xml:space="preserve"> di Free2Move </w:t>
      </w:r>
      <w:proofErr w:type="spellStart"/>
      <w:r w:rsidRPr="00392643">
        <w:rPr>
          <w:rFonts w:ascii="Maax" w:hAnsi="Maax"/>
          <w:sz w:val="20"/>
          <w:szCs w:val="20"/>
        </w:rPr>
        <w:t>eSolutions</w:t>
      </w:r>
      <w:proofErr w:type="spellEnd"/>
      <w:r w:rsidRPr="00392643">
        <w:rPr>
          <w:rFonts w:ascii="Maax" w:hAnsi="Maax"/>
          <w:sz w:val="20"/>
          <w:szCs w:val="20"/>
        </w:rPr>
        <w:t xml:space="preserve">, </w:t>
      </w:r>
      <w:r w:rsidR="00C7320C" w:rsidRPr="00392643">
        <w:rPr>
          <w:rFonts w:ascii="Maax" w:hAnsi="Maax"/>
          <w:sz w:val="20"/>
          <w:szCs w:val="20"/>
        </w:rPr>
        <w:t xml:space="preserve">lancia </w:t>
      </w:r>
      <w:r w:rsidRPr="00392643">
        <w:rPr>
          <w:rFonts w:ascii="Maax" w:hAnsi="Maax"/>
          <w:sz w:val="20"/>
          <w:szCs w:val="20"/>
        </w:rPr>
        <w:t xml:space="preserve">il progetto di sviluppo della prima rete di ricarica </w:t>
      </w:r>
      <w:r w:rsidR="00350F07" w:rsidRPr="00392643">
        <w:rPr>
          <w:rFonts w:ascii="Maax" w:hAnsi="Maax"/>
          <w:sz w:val="20"/>
          <w:szCs w:val="20"/>
        </w:rPr>
        <w:t xml:space="preserve">rapida </w:t>
      </w:r>
      <w:r w:rsidRPr="00392643">
        <w:rPr>
          <w:rFonts w:ascii="Maax" w:hAnsi="Maax"/>
          <w:sz w:val="20"/>
          <w:szCs w:val="20"/>
        </w:rPr>
        <w:t xml:space="preserve"> integrata</w:t>
      </w:r>
      <w:r w:rsidR="003770B8" w:rsidRPr="00392643">
        <w:rPr>
          <w:rFonts w:ascii="Maax" w:hAnsi="Maax"/>
          <w:sz w:val="20"/>
          <w:szCs w:val="20"/>
        </w:rPr>
        <w:t xml:space="preserve"> al</w:t>
      </w:r>
      <w:r w:rsidRPr="00392643">
        <w:rPr>
          <w:rFonts w:ascii="Maax" w:hAnsi="Maax"/>
          <w:sz w:val="20"/>
          <w:szCs w:val="20"/>
        </w:rPr>
        <w:t xml:space="preserve"> </w:t>
      </w:r>
      <w:r w:rsidR="003770B8" w:rsidRPr="00392643">
        <w:rPr>
          <w:rFonts w:ascii="Maax" w:hAnsi="Maax"/>
          <w:sz w:val="20"/>
          <w:szCs w:val="20"/>
        </w:rPr>
        <w:t>100%</w:t>
      </w:r>
      <w:r w:rsidR="00181AD8" w:rsidRPr="00392643">
        <w:rPr>
          <w:rFonts w:ascii="Maax" w:hAnsi="Maax"/>
          <w:sz w:val="20"/>
          <w:szCs w:val="20"/>
        </w:rPr>
        <w:t xml:space="preserve"> con la rete elettrica </w:t>
      </w:r>
      <w:r w:rsidRPr="00392643">
        <w:rPr>
          <w:rFonts w:ascii="Maax" w:hAnsi="Maax"/>
          <w:sz w:val="20"/>
          <w:szCs w:val="20"/>
        </w:rPr>
        <w:t>(</w:t>
      </w:r>
      <w:proofErr w:type="spellStart"/>
      <w:r w:rsidR="00181AD8" w:rsidRPr="00392643">
        <w:rPr>
          <w:rFonts w:ascii="Maax" w:hAnsi="Maax"/>
          <w:sz w:val="20"/>
          <w:szCs w:val="20"/>
        </w:rPr>
        <w:t>vehicle-grid-integrated</w:t>
      </w:r>
      <w:proofErr w:type="spellEnd"/>
      <w:r w:rsidR="00181AD8" w:rsidRPr="00392643">
        <w:rPr>
          <w:rFonts w:ascii="Maax" w:hAnsi="Maax"/>
          <w:sz w:val="20"/>
          <w:szCs w:val="20"/>
        </w:rPr>
        <w:t xml:space="preserve">, </w:t>
      </w:r>
      <w:r w:rsidRPr="00392643">
        <w:rPr>
          <w:rFonts w:ascii="Maax" w:hAnsi="Maax"/>
          <w:sz w:val="20"/>
          <w:szCs w:val="20"/>
        </w:rPr>
        <w:t>VGI), energi</w:t>
      </w:r>
      <w:r w:rsidR="00C7320C" w:rsidRPr="00392643">
        <w:rPr>
          <w:rFonts w:ascii="Maax" w:hAnsi="Maax"/>
          <w:sz w:val="20"/>
          <w:szCs w:val="20"/>
        </w:rPr>
        <w:t>a</w:t>
      </w:r>
      <w:r w:rsidRPr="00392643">
        <w:rPr>
          <w:rFonts w:ascii="Maax" w:hAnsi="Maax"/>
          <w:sz w:val="20"/>
          <w:szCs w:val="20"/>
        </w:rPr>
        <w:t xml:space="preserve"> rinnovabil</w:t>
      </w:r>
      <w:r w:rsidR="001736ED" w:rsidRPr="00392643">
        <w:rPr>
          <w:rFonts w:ascii="Maax" w:hAnsi="Maax"/>
          <w:sz w:val="20"/>
          <w:szCs w:val="20"/>
        </w:rPr>
        <w:t>e</w:t>
      </w:r>
      <w:r w:rsidRPr="00392643">
        <w:rPr>
          <w:rFonts w:ascii="Maax" w:hAnsi="Maax"/>
          <w:sz w:val="20"/>
          <w:szCs w:val="20"/>
        </w:rPr>
        <w:t xml:space="preserve"> e </w:t>
      </w:r>
      <w:r w:rsidR="001736ED" w:rsidRPr="00392643">
        <w:rPr>
          <w:rFonts w:ascii="Maax" w:hAnsi="Maax"/>
          <w:sz w:val="20"/>
          <w:szCs w:val="20"/>
        </w:rPr>
        <w:t>sistemi di accumulo</w:t>
      </w:r>
      <w:r w:rsidRPr="00392643">
        <w:rPr>
          <w:rFonts w:ascii="Maax" w:hAnsi="Maax"/>
          <w:sz w:val="20"/>
          <w:szCs w:val="20"/>
        </w:rPr>
        <w:t xml:space="preserve"> (il “</w:t>
      </w:r>
      <w:r w:rsidRPr="00392643">
        <w:rPr>
          <w:rFonts w:ascii="Maax" w:hAnsi="Maax"/>
          <w:b/>
          <w:bCs/>
          <w:sz w:val="20"/>
          <w:szCs w:val="20"/>
        </w:rPr>
        <w:t>Progetto Atlante</w:t>
      </w:r>
      <w:r w:rsidRPr="00392643">
        <w:rPr>
          <w:rFonts w:ascii="Maax" w:hAnsi="Maax"/>
          <w:sz w:val="20"/>
          <w:szCs w:val="20"/>
        </w:rPr>
        <w:t>”). Il Progetto Atlante si inserisce</w:t>
      </w:r>
      <w:r w:rsidR="00106D84" w:rsidRPr="00392643">
        <w:rPr>
          <w:rFonts w:ascii="Maax" w:hAnsi="Maax"/>
          <w:sz w:val="20"/>
          <w:szCs w:val="20"/>
        </w:rPr>
        <w:t xml:space="preserve"> perfettamente</w:t>
      </w:r>
      <w:r w:rsidRPr="00392643">
        <w:rPr>
          <w:rFonts w:ascii="Maax" w:hAnsi="Maax"/>
          <w:sz w:val="20"/>
          <w:szCs w:val="20"/>
        </w:rPr>
        <w:t xml:space="preserve"> nel contesto dell'adozione da parte della Commissione Europea, </w:t>
      </w:r>
      <w:r w:rsidR="001736ED" w:rsidRPr="00392643">
        <w:rPr>
          <w:rFonts w:ascii="Maax" w:hAnsi="Maax"/>
          <w:sz w:val="20"/>
          <w:szCs w:val="20"/>
        </w:rPr>
        <w:t xml:space="preserve">lo scorso </w:t>
      </w:r>
      <w:r w:rsidRPr="00392643">
        <w:rPr>
          <w:rFonts w:ascii="Maax" w:hAnsi="Maax"/>
          <w:sz w:val="20"/>
          <w:szCs w:val="20"/>
        </w:rPr>
        <w:t xml:space="preserve">14 luglio 2021, del pacchetto </w:t>
      </w:r>
      <w:r w:rsidR="00355CE0" w:rsidRPr="00392643">
        <w:rPr>
          <w:rFonts w:ascii="Maax" w:hAnsi="Maax"/>
          <w:sz w:val="20"/>
          <w:szCs w:val="20"/>
        </w:rPr>
        <w:t>“</w:t>
      </w:r>
      <w:proofErr w:type="spellStart"/>
      <w:r w:rsidRPr="00392643">
        <w:rPr>
          <w:rFonts w:ascii="Maax" w:hAnsi="Maax"/>
          <w:i/>
          <w:iCs/>
          <w:sz w:val="20"/>
          <w:szCs w:val="20"/>
        </w:rPr>
        <w:t>Fit</w:t>
      </w:r>
      <w:proofErr w:type="spellEnd"/>
      <w:r w:rsidRPr="00392643">
        <w:rPr>
          <w:rFonts w:ascii="Maax" w:hAnsi="Maax"/>
          <w:i/>
          <w:iCs/>
          <w:sz w:val="20"/>
          <w:szCs w:val="20"/>
        </w:rPr>
        <w:t xml:space="preserve"> for 55</w:t>
      </w:r>
      <w:r w:rsidR="00355CE0" w:rsidRPr="00392643">
        <w:rPr>
          <w:rFonts w:ascii="Maax" w:hAnsi="Maax"/>
          <w:i/>
          <w:iCs/>
          <w:sz w:val="20"/>
          <w:szCs w:val="20"/>
        </w:rPr>
        <w:t>”</w:t>
      </w:r>
      <w:r w:rsidRPr="00392643">
        <w:rPr>
          <w:rFonts w:ascii="Cambria" w:hAnsi="Cambria" w:cs="Cambria"/>
          <w:sz w:val="20"/>
          <w:szCs w:val="20"/>
        </w:rPr>
        <w:t> </w:t>
      </w:r>
      <w:r w:rsidRPr="00392643">
        <w:rPr>
          <w:rFonts w:ascii="Maax" w:hAnsi="Maax"/>
          <w:sz w:val="20"/>
          <w:szCs w:val="20"/>
        </w:rPr>
        <w:t>i cui obiettivi sono, tra gli altri, ottenere il 100% di auto a zero emissioni immatricolate a partire dal 2035 e installare punti di ricarica e rifornimento a intervalli regolari sulle principali autostrade: ogni 60 chilometri per la ricarica elettrica e ogni 150 chilometri per il rifornimento di idrogeno.</w:t>
      </w:r>
    </w:p>
    <w:p w14:paraId="4073AE80" w14:textId="1045D446" w:rsidR="003C1367" w:rsidRPr="00392643" w:rsidRDefault="00C23E98" w:rsidP="000B2DFB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Il Progetto Atlante si svilupperà inizialmente </w:t>
      </w:r>
      <w:r w:rsidR="0072747E" w:rsidRPr="00392643">
        <w:rPr>
          <w:rFonts w:ascii="Maax" w:hAnsi="Maax"/>
          <w:sz w:val="20"/>
          <w:szCs w:val="20"/>
        </w:rPr>
        <w:t>nel Sud Europa</w:t>
      </w:r>
      <w:r w:rsidRPr="00392643">
        <w:rPr>
          <w:rFonts w:ascii="Maax" w:hAnsi="Maax"/>
          <w:sz w:val="20"/>
          <w:szCs w:val="20"/>
        </w:rPr>
        <w:t xml:space="preserve"> e, come annunciato</w:t>
      </w:r>
      <w:r w:rsidR="00925ABB" w:rsidRPr="00392643">
        <w:rPr>
          <w:rFonts w:ascii="Maax" w:hAnsi="Maax"/>
          <w:sz w:val="20"/>
          <w:szCs w:val="20"/>
        </w:rPr>
        <w:t xml:space="preserve"> l’8 luglio 2021</w:t>
      </w:r>
      <w:r w:rsidRPr="00392643">
        <w:rPr>
          <w:rFonts w:ascii="Maax" w:hAnsi="Maax"/>
          <w:sz w:val="20"/>
          <w:szCs w:val="20"/>
        </w:rPr>
        <w:t xml:space="preserve"> durante </w:t>
      </w:r>
      <w:r w:rsidR="00925ABB" w:rsidRPr="00392643">
        <w:rPr>
          <w:rFonts w:ascii="Maax" w:hAnsi="Maax"/>
          <w:sz w:val="20"/>
          <w:szCs w:val="20"/>
        </w:rPr>
        <w:t>l’</w:t>
      </w:r>
      <w:r w:rsidRPr="00392643">
        <w:rPr>
          <w:rFonts w:ascii="Maax" w:hAnsi="Maax"/>
          <w:sz w:val="20"/>
          <w:szCs w:val="20"/>
        </w:rPr>
        <w:t xml:space="preserve">EV </w:t>
      </w:r>
      <w:proofErr w:type="spellStart"/>
      <w:r w:rsidRPr="00392643">
        <w:rPr>
          <w:rFonts w:ascii="Maax" w:hAnsi="Maax"/>
          <w:sz w:val="20"/>
          <w:szCs w:val="20"/>
        </w:rPr>
        <w:t>Day</w:t>
      </w:r>
      <w:proofErr w:type="spellEnd"/>
      <w:r w:rsidRPr="00392643">
        <w:rPr>
          <w:rFonts w:ascii="Maax" w:hAnsi="Maax"/>
          <w:sz w:val="20"/>
          <w:szCs w:val="20"/>
        </w:rPr>
        <w:t xml:space="preserve"> 2021</w:t>
      </w:r>
      <w:r w:rsidR="00925ABB" w:rsidRPr="00392643">
        <w:rPr>
          <w:rFonts w:ascii="Maax" w:hAnsi="Maax"/>
          <w:sz w:val="20"/>
          <w:szCs w:val="20"/>
        </w:rPr>
        <w:t xml:space="preserve"> di </w:t>
      </w:r>
      <w:proofErr w:type="spellStart"/>
      <w:r w:rsidR="00925ABB" w:rsidRPr="00392643">
        <w:rPr>
          <w:rFonts w:ascii="Maax" w:hAnsi="Maax"/>
          <w:sz w:val="20"/>
          <w:szCs w:val="20"/>
        </w:rPr>
        <w:t>Stellantis</w:t>
      </w:r>
      <w:proofErr w:type="spellEnd"/>
      <w:r w:rsidRPr="00392643">
        <w:rPr>
          <w:rFonts w:ascii="Maax" w:hAnsi="Maax"/>
          <w:sz w:val="20"/>
          <w:szCs w:val="20"/>
        </w:rPr>
        <w:t xml:space="preserve">, sarà una rete </w:t>
      </w:r>
      <w:r w:rsidR="0072747E" w:rsidRPr="00392643">
        <w:rPr>
          <w:rFonts w:ascii="Maax" w:hAnsi="Maax"/>
          <w:sz w:val="20"/>
          <w:szCs w:val="20"/>
        </w:rPr>
        <w:t xml:space="preserve">di ricarica </w:t>
      </w:r>
      <w:r w:rsidRPr="00392643">
        <w:rPr>
          <w:rFonts w:ascii="Maax" w:hAnsi="Maax"/>
          <w:sz w:val="20"/>
          <w:szCs w:val="20"/>
        </w:rPr>
        <w:t>aperta</w:t>
      </w:r>
      <w:r w:rsidR="0072747E" w:rsidRPr="00392643">
        <w:rPr>
          <w:rFonts w:ascii="Maax" w:hAnsi="Maax"/>
          <w:sz w:val="20"/>
          <w:szCs w:val="20"/>
        </w:rPr>
        <w:t xml:space="preserve"> a tutti</w:t>
      </w:r>
      <w:r w:rsidRPr="00392643">
        <w:rPr>
          <w:rFonts w:ascii="Maax" w:hAnsi="Maax"/>
          <w:sz w:val="20"/>
          <w:szCs w:val="20"/>
        </w:rPr>
        <w:t xml:space="preserve"> e</w:t>
      </w:r>
      <w:r w:rsidR="00A36DE7" w:rsidRPr="00392643">
        <w:rPr>
          <w:rFonts w:ascii="Maax" w:hAnsi="Maax"/>
          <w:sz w:val="20"/>
          <w:szCs w:val="20"/>
        </w:rPr>
        <w:t xml:space="preserve"> allo stesso tempo</w:t>
      </w:r>
      <w:r w:rsidRPr="00392643">
        <w:rPr>
          <w:rFonts w:ascii="Maax" w:hAnsi="Maax"/>
          <w:sz w:val="20"/>
          <w:szCs w:val="20"/>
        </w:rPr>
        <w:t xml:space="preserve"> </w:t>
      </w:r>
      <w:r w:rsidR="00AD2662" w:rsidRPr="00392643">
        <w:rPr>
          <w:rFonts w:ascii="Maax" w:hAnsi="Maax"/>
          <w:sz w:val="20"/>
          <w:szCs w:val="20"/>
        </w:rPr>
        <w:t xml:space="preserve">il network </w:t>
      </w:r>
      <w:r w:rsidRPr="00392643">
        <w:rPr>
          <w:rFonts w:ascii="Maax" w:hAnsi="Maax"/>
          <w:sz w:val="20"/>
          <w:szCs w:val="20"/>
        </w:rPr>
        <w:t xml:space="preserve">di ricarica rapida preferenziale per </w:t>
      </w:r>
      <w:r w:rsidR="00A36DE7" w:rsidRPr="00392643">
        <w:rPr>
          <w:rFonts w:ascii="Maax" w:hAnsi="Maax"/>
          <w:sz w:val="20"/>
          <w:szCs w:val="20"/>
        </w:rPr>
        <w:t xml:space="preserve">i clienti </w:t>
      </w:r>
      <w:proofErr w:type="spellStart"/>
      <w:r w:rsidRPr="00392643">
        <w:rPr>
          <w:rFonts w:ascii="Maax" w:hAnsi="Maax"/>
          <w:sz w:val="20"/>
          <w:szCs w:val="20"/>
        </w:rPr>
        <w:t>Stellantis</w:t>
      </w:r>
      <w:proofErr w:type="spellEnd"/>
      <w:r w:rsidRPr="00392643">
        <w:rPr>
          <w:rFonts w:ascii="Maax" w:hAnsi="Maax"/>
          <w:sz w:val="20"/>
          <w:szCs w:val="20"/>
        </w:rPr>
        <w:t xml:space="preserve"> (“</w:t>
      </w:r>
      <w:r w:rsidR="00AD2662" w:rsidRPr="00392643">
        <w:rPr>
          <w:rFonts w:ascii="Maax" w:hAnsi="Maax"/>
          <w:b/>
          <w:bCs/>
          <w:sz w:val="20"/>
          <w:szCs w:val="20"/>
        </w:rPr>
        <w:t xml:space="preserve">Network </w:t>
      </w:r>
      <w:r w:rsidRPr="00392643">
        <w:rPr>
          <w:rFonts w:ascii="Maax" w:hAnsi="Maax"/>
          <w:b/>
          <w:bCs/>
          <w:sz w:val="20"/>
          <w:szCs w:val="20"/>
        </w:rPr>
        <w:t>Atlante</w:t>
      </w:r>
      <w:r w:rsidRPr="00392643">
        <w:rPr>
          <w:rFonts w:ascii="Maax" w:hAnsi="Maax"/>
          <w:sz w:val="20"/>
          <w:szCs w:val="20"/>
        </w:rPr>
        <w:t xml:space="preserve">”). </w:t>
      </w:r>
    </w:p>
    <w:p w14:paraId="1D9616F2" w14:textId="7BD635AD" w:rsidR="00B62CFB" w:rsidRPr="00392643" w:rsidRDefault="00AF5E1B" w:rsidP="00EE725D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NHOA svilupperà e investirà nel </w:t>
      </w:r>
      <w:r w:rsidR="00AD2662" w:rsidRPr="00392643">
        <w:rPr>
          <w:rFonts w:ascii="Maax" w:hAnsi="Maax"/>
          <w:sz w:val="20"/>
          <w:szCs w:val="20"/>
        </w:rPr>
        <w:t>Network Atlante</w:t>
      </w:r>
      <w:r w:rsidR="00AD2662" w:rsidRPr="00392643" w:rsidDel="00AD2662">
        <w:rPr>
          <w:rFonts w:ascii="Maax" w:hAnsi="Maax"/>
          <w:sz w:val="20"/>
          <w:szCs w:val="20"/>
        </w:rPr>
        <w:t xml:space="preserve"> </w:t>
      </w:r>
      <w:r w:rsidRPr="00392643">
        <w:rPr>
          <w:rFonts w:ascii="Maax" w:hAnsi="Maax"/>
          <w:sz w:val="20"/>
          <w:szCs w:val="20"/>
        </w:rPr>
        <w:t>come operatore</w:t>
      </w:r>
      <w:r w:rsidR="00CB1B42" w:rsidRPr="00392643">
        <w:rPr>
          <w:rFonts w:ascii="Maax" w:hAnsi="Maax"/>
          <w:sz w:val="20"/>
          <w:szCs w:val="20"/>
        </w:rPr>
        <w:t xml:space="preserve"> e gestore</w:t>
      </w:r>
      <w:r w:rsidRPr="00392643">
        <w:rPr>
          <w:rFonts w:ascii="Maax" w:hAnsi="Maax"/>
          <w:sz w:val="20"/>
          <w:szCs w:val="20"/>
        </w:rPr>
        <w:t xml:space="preserve">, con risorse proprie e altre forme di finanziamento tra cui, tra </w:t>
      </w:r>
      <w:r w:rsidR="000A53BB" w:rsidRPr="00392643">
        <w:rPr>
          <w:rFonts w:ascii="Maax" w:hAnsi="Maax"/>
          <w:sz w:val="20"/>
          <w:szCs w:val="20"/>
        </w:rPr>
        <w:t>le</w:t>
      </w:r>
      <w:r w:rsidRPr="00392643">
        <w:rPr>
          <w:rFonts w:ascii="Maax" w:hAnsi="Maax"/>
          <w:sz w:val="20"/>
          <w:szCs w:val="20"/>
        </w:rPr>
        <w:t xml:space="preserve"> altr</w:t>
      </w:r>
      <w:r w:rsidR="000A53BB" w:rsidRPr="00392643">
        <w:rPr>
          <w:rFonts w:ascii="Maax" w:hAnsi="Maax"/>
          <w:sz w:val="20"/>
          <w:szCs w:val="20"/>
        </w:rPr>
        <w:t>e</w:t>
      </w:r>
      <w:r w:rsidRPr="00392643">
        <w:rPr>
          <w:rFonts w:ascii="Maax" w:hAnsi="Maax"/>
          <w:sz w:val="20"/>
          <w:szCs w:val="20"/>
        </w:rPr>
        <w:t xml:space="preserve">, il supporto di TCC come investitore fondatore, e Free2Move </w:t>
      </w:r>
      <w:proofErr w:type="spellStart"/>
      <w:r w:rsidRPr="00392643">
        <w:rPr>
          <w:rFonts w:ascii="Maax" w:hAnsi="Maax"/>
          <w:sz w:val="20"/>
          <w:szCs w:val="20"/>
        </w:rPr>
        <w:t>eSolutions</w:t>
      </w:r>
      <w:proofErr w:type="spellEnd"/>
      <w:r w:rsidRPr="00392643">
        <w:rPr>
          <w:rFonts w:ascii="Maax" w:hAnsi="Maax"/>
          <w:sz w:val="20"/>
          <w:szCs w:val="20"/>
        </w:rPr>
        <w:t xml:space="preserve"> agirà come fornitore di tecnologia chiavi in mano.</w:t>
      </w:r>
    </w:p>
    <w:p w14:paraId="0EE316FA" w14:textId="397D55FD" w:rsidR="00DC05FF" w:rsidRPr="00392643" w:rsidRDefault="00DC05FF" w:rsidP="00EE725D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>“</w:t>
      </w:r>
      <w:r w:rsidRPr="00392643">
        <w:rPr>
          <w:rFonts w:ascii="Maax" w:hAnsi="Maax"/>
          <w:i/>
          <w:iCs/>
          <w:sz w:val="20"/>
          <w:szCs w:val="20"/>
        </w:rPr>
        <w:t>Il progetto Atlante è la pietra miliare delle nostre ambizioni strategiche e</w:t>
      </w:r>
      <w:r w:rsidR="008C7781" w:rsidRPr="00392643">
        <w:rPr>
          <w:rFonts w:ascii="Maax" w:hAnsi="Maax"/>
          <w:i/>
          <w:iCs/>
          <w:sz w:val="20"/>
          <w:szCs w:val="20"/>
        </w:rPr>
        <w:t xml:space="preserve"> </w:t>
      </w:r>
      <w:r w:rsidRPr="00392643">
        <w:rPr>
          <w:rFonts w:ascii="Maax" w:hAnsi="Maax"/>
          <w:i/>
          <w:iCs/>
          <w:sz w:val="20"/>
          <w:szCs w:val="20"/>
        </w:rPr>
        <w:t>testimonianza del</w:t>
      </w:r>
      <w:r w:rsidR="00C01944" w:rsidRPr="00392643">
        <w:rPr>
          <w:rFonts w:ascii="Maax" w:hAnsi="Maax"/>
          <w:i/>
          <w:iCs/>
          <w:sz w:val="20"/>
          <w:szCs w:val="20"/>
        </w:rPr>
        <w:t>la</w:t>
      </w:r>
      <w:r w:rsidRPr="00392643">
        <w:rPr>
          <w:rFonts w:ascii="Maax" w:hAnsi="Maax"/>
          <w:i/>
          <w:iCs/>
          <w:sz w:val="20"/>
          <w:szCs w:val="20"/>
        </w:rPr>
        <w:t xml:space="preserve"> trasforma</w:t>
      </w:r>
      <w:r w:rsidR="00C01944" w:rsidRPr="00392643">
        <w:rPr>
          <w:rFonts w:ascii="Maax" w:hAnsi="Maax"/>
          <w:i/>
          <w:iCs/>
          <w:sz w:val="20"/>
          <w:szCs w:val="20"/>
        </w:rPr>
        <w:t>zione</w:t>
      </w:r>
      <w:r w:rsidRPr="00392643">
        <w:rPr>
          <w:rFonts w:ascii="Maax" w:hAnsi="Maax"/>
          <w:i/>
          <w:iCs/>
          <w:sz w:val="20"/>
          <w:szCs w:val="20"/>
        </w:rPr>
        <w:t xml:space="preserve"> di NHOA: da puro player tecnologico a sviluppatore</w:t>
      </w:r>
      <w:r w:rsidR="001B6426" w:rsidRPr="00392643">
        <w:rPr>
          <w:rFonts w:ascii="Maax" w:hAnsi="Maax"/>
          <w:i/>
          <w:iCs/>
          <w:sz w:val="20"/>
          <w:szCs w:val="20"/>
        </w:rPr>
        <w:t xml:space="preserve"> </w:t>
      </w:r>
      <w:r w:rsidRPr="00392643">
        <w:rPr>
          <w:rFonts w:ascii="Maax" w:hAnsi="Maax"/>
          <w:i/>
          <w:iCs/>
          <w:sz w:val="20"/>
          <w:szCs w:val="20"/>
        </w:rPr>
        <w:t>e operatore di infrastrutture</w:t>
      </w:r>
      <w:r w:rsidR="00C01944" w:rsidRPr="00392643">
        <w:rPr>
          <w:rFonts w:ascii="Maax" w:hAnsi="Maax"/>
          <w:i/>
          <w:iCs/>
          <w:sz w:val="20"/>
          <w:szCs w:val="20"/>
        </w:rPr>
        <w:t xml:space="preserve"> di ricarica</w:t>
      </w:r>
      <w:r w:rsidR="001931B5" w:rsidRPr="00392643">
        <w:rPr>
          <w:rFonts w:ascii="Maax" w:hAnsi="Maax"/>
          <w:i/>
          <w:iCs/>
          <w:sz w:val="20"/>
          <w:szCs w:val="20"/>
        </w:rPr>
        <w:t xml:space="preserve"> per veicoli elettrici</w:t>
      </w:r>
      <w:r w:rsidRPr="00392643">
        <w:rPr>
          <w:rFonts w:ascii="Maax" w:hAnsi="Maax"/>
          <w:i/>
          <w:iCs/>
          <w:sz w:val="20"/>
          <w:szCs w:val="20"/>
        </w:rPr>
        <w:t xml:space="preserve"> che </w:t>
      </w:r>
      <w:r w:rsidR="001931B5" w:rsidRPr="00392643">
        <w:rPr>
          <w:rFonts w:ascii="Maax" w:hAnsi="Maax"/>
          <w:i/>
          <w:iCs/>
          <w:sz w:val="20"/>
          <w:szCs w:val="20"/>
        </w:rPr>
        <w:t>vanta un</w:t>
      </w:r>
      <w:r w:rsidRPr="00392643">
        <w:rPr>
          <w:rFonts w:ascii="Maax" w:hAnsi="Maax"/>
          <w:i/>
          <w:iCs/>
          <w:sz w:val="20"/>
          <w:szCs w:val="20"/>
        </w:rPr>
        <w:t xml:space="preserve"> portafoglio di prodotti e tecnologie</w:t>
      </w:r>
      <w:r w:rsidR="001931B5" w:rsidRPr="00392643">
        <w:rPr>
          <w:rFonts w:ascii="Maax" w:hAnsi="Maax"/>
          <w:i/>
          <w:iCs/>
          <w:sz w:val="20"/>
          <w:szCs w:val="20"/>
        </w:rPr>
        <w:t xml:space="preserve"> unico</w:t>
      </w:r>
      <w:r w:rsidR="000D21E2" w:rsidRPr="00392643">
        <w:rPr>
          <w:rFonts w:ascii="Maax" w:hAnsi="Maax"/>
          <w:i/>
          <w:iCs/>
          <w:sz w:val="20"/>
          <w:szCs w:val="20"/>
        </w:rPr>
        <w:t>,</w:t>
      </w:r>
      <w:r w:rsidRPr="00392643">
        <w:rPr>
          <w:rFonts w:ascii="Maax" w:hAnsi="Maax"/>
          <w:i/>
          <w:iCs/>
          <w:sz w:val="20"/>
          <w:szCs w:val="20"/>
        </w:rPr>
        <w:t xml:space="preserve"> verticalmente integrat</w:t>
      </w:r>
      <w:r w:rsidR="000D21E2" w:rsidRPr="00392643">
        <w:rPr>
          <w:rFonts w:ascii="Maax" w:hAnsi="Maax"/>
          <w:i/>
          <w:iCs/>
          <w:sz w:val="20"/>
          <w:szCs w:val="20"/>
        </w:rPr>
        <w:t>i dallo stoccaggio di energia alla mobilità elettrica</w:t>
      </w:r>
      <w:r w:rsidRPr="00392643">
        <w:rPr>
          <w:rFonts w:ascii="Maax" w:hAnsi="Maax"/>
          <w:sz w:val="20"/>
          <w:szCs w:val="20"/>
        </w:rPr>
        <w:t>” ha dichiarato</w:t>
      </w:r>
      <w:r w:rsidRPr="00392643">
        <w:rPr>
          <w:rFonts w:ascii="Maax" w:hAnsi="Maax"/>
          <w:b/>
          <w:bCs/>
          <w:sz w:val="20"/>
          <w:szCs w:val="20"/>
        </w:rPr>
        <w:t xml:space="preserve"> Carlalberto Guglielminotti, Amministratore Delegato di NHOA </w:t>
      </w:r>
      <w:proofErr w:type="gramStart"/>
      <w:r w:rsidRPr="00392643">
        <w:rPr>
          <w:rFonts w:ascii="Maax" w:hAnsi="Maax"/>
          <w:b/>
          <w:bCs/>
          <w:sz w:val="20"/>
          <w:szCs w:val="20"/>
        </w:rPr>
        <w:t>e</w:t>
      </w:r>
      <w:proofErr w:type="gramEnd"/>
      <w:r w:rsidRPr="00392643">
        <w:rPr>
          <w:rFonts w:ascii="Maax" w:hAnsi="Maax"/>
          <w:b/>
          <w:bCs/>
          <w:sz w:val="20"/>
          <w:szCs w:val="20"/>
        </w:rPr>
        <w:t xml:space="preserve"> </w:t>
      </w:r>
      <w:r w:rsidR="005A41F7" w:rsidRPr="00392643">
        <w:rPr>
          <w:rFonts w:ascii="Maax" w:hAnsi="Maax"/>
          <w:b/>
          <w:bCs/>
          <w:sz w:val="20"/>
          <w:szCs w:val="20"/>
        </w:rPr>
        <w:t>Executive Chairman</w:t>
      </w:r>
      <w:r w:rsidRPr="00392643">
        <w:rPr>
          <w:rFonts w:ascii="Maax" w:hAnsi="Maax"/>
          <w:b/>
          <w:bCs/>
          <w:sz w:val="20"/>
          <w:szCs w:val="20"/>
        </w:rPr>
        <w:t xml:space="preserve"> di Free2Move </w:t>
      </w:r>
      <w:proofErr w:type="spellStart"/>
      <w:r w:rsidRPr="00392643">
        <w:rPr>
          <w:rFonts w:ascii="Maax" w:hAnsi="Maax"/>
          <w:b/>
          <w:bCs/>
          <w:sz w:val="20"/>
          <w:szCs w:val="20"/>
        </w:rPr>
        <w:t>eSolutions</w:t>
      </w:r>
      <w:proofErr w:type="spellEnd"/>
      <w:r w:rsidRPr="00392643">
        <w:rPr>
          <w:rFonts w:ascii="Maax" w:hAnsi="Maax"/>
          <w:sz w:val="20"/>
          <w:szCs w:val="20"/>
        </w:rPr>
        <w:t>.</w:t>
      </w:r>
    </w:p>
    <w:p w14:paraId="30C52C63" w14:textId="1858A979" w:rsidR="003C1367" w:rsidRPr="00392643" w:rsidRDefault="00DD3033" w:rsidP="003C1367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b/>
          <w:bCs/>
          <w:sz w:val="20"/>
          <w:szCs w:val="20"/>
        </w:rPr>
        <w:t xml:space="preserve">Roberto di Stefano, Amministratore Delegato di Free2Move </w:t>
      </w:r>
      <w:proofErr w:type="spellStart"/>
      <w:r w:rsidRPr="00392643">
        <w:rPr>
          <w:rFonts w:ascii="Maax" w:hAnsi="Maax"/>
          <w:b/>
          <w:bCs/>
          <w:sz w:val="20"/>
          <w:szCs w:val="20"/>
        </w:rPr>
        <w:t>eSolutions</w:t>
      </w:r>
      <w:proofErr w:type="spellEnd"/>
      <w:r w:rsidRPr="00392643">
        <w:rPr>
          <w:rFonts w:ascii="Maax" w:hAnsi="Maax"/>
          <w:sz w:val="20"/>
          <w:szCs w:val="20"/>
        </w:rPr>
        <w:t xml:space="preserve"> ha commentato “</w:t>
      </w:r>
      <w:r w:rsidRPr="00392643">
        <w:rPr>
          <w:rFonts w:ascii="Maax" w:hAnsi="Maax"/>
          <w:i/>
          <w:iCs/>
          <w:sz w:val="20"/>
          <w:szCs w:val="20"/>
        </w:rPr>
        <w:t xml:space="preserve">Atlante sta aprendo una nuova era in cui la transizione energetica e la mobilità a zero emissioni diventeranno la normalità nella nostra vita, permettendo un </w:t>
      </w:r>
      <w:r w:rsidR="00360F67" w:rsidRPr="00392643">
        <w:rPr>
          <w:rFonts w:ascii="Maax" w:hAnsi="Maax"/>
          <w:i/>
          <w:iCs/>
          <w:sz w:val="20"/>
          <w:szCs w:val="20"/>
        </w:rPr>
        <w:t xml:space="preserve">pianeta </w:t>
      </w:r>
      <w:r w:rsidRPr="00392643">
        <w:rPr>
          <w:rFonts w:ascii="Maax" w:hAnsi="Maax"/>
          <w:i/>
          <w:iCs/>
          <w:sz w:val="20"/>
          <w:szCs w:val="20"/>
        </w:rPr>
        <w:t>migliore per le generazioni future</w:t>
      </w:r>
      <w:r w:rsidRPr="00392643">
        <w:rPr>
          <w:rFonts w:ascii="Maax" w:hAnsi="Maax"/>
          <w:sz w:val="20"/>
          <w:szCs w:val="20"/>
        </w:rPr>
        <w:t>”.</w:t>
      </w:r>
    </w:p>
    <w:p w14:paraId="5ED2E850" w14:textId="2AA63020" w:rsidR="00286513" w:rsidRPr="00392643" w:rsidRDefault="00674FC5" w:rsidP="003C1367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Il potenziale di mercato, il perimetro e le ambizioni del Progetto Atlante sono stati definiti da NHOA e da Free2Move </w:t>
      </w:r>
      <w:proofErr w:type="spellStart"/>
      <w:r w:rsidRPr="00392643">
        <w:rPr>
          <w:rFonts w:ascii="Maax" w:hAnsi="Maax"/>
          <w:sz w:val="20"/>
          <w:szCs w:val="20"/>
        </w:rPr>
        <w:t>eSolutions</w:t>
      </w:r>
      <w:proofErr w:type="spellEnd"/>
      <w:r w:rsidRPr="00392643">
        <w:rPr>
          <w:rFonts w:ascii="Maax" w:hAnsi="Maax"/>
          <w:sz w:val="20"/>
          <w:szCs w:val="20"/>
        </w:rPr>
        <w:t xml:space="preserve"> </w:t>
      </w:r>
      <w:r w:rsidR="00397B05" w:rsidRPr="00392643">
        <w:rPr>
          <w:rFonts w:ascii="Maax" w:hAnsi="Maax"/>
          <w:sz w:val="20"/>
          <w:szCs w:val="20"/>
        </w:rPr>
        <w:t>con il supporto di</w:t>
      </w:r>
      <w:r w:rsidRPr="00392643">
        <w:rPr>
          <w:rFonts w:ascii="Maax" w:hAnsi="Maax"/>
          <w:sz w:val="20"/>
          <w:szCs w:val="20"/>
        </w:rPr>
        <w:t xml:space="preserve"> McKinsey &amp; Co. </w:t>
      </w:r>
    </w:p>
    <w:p w14:paraId="35441E59" w14:textId="0C13F1DD" w:rsidR="00FB197D" w:rsidRPr="00392643" w:rsidRDefault="002B516A" w:rsidP="003C1367">
      <w:pPr>
        <w:spacing w:after="120" w:line="288" w:lineRule="auto"/>
        <w:jc w:val="both"/>
        <w:rPr>
          <w:rFonts w:ascii="Maax" w:hAnsi="Maax" w:cs="Arial"/>
          <w:color w:val="73B967"/>
          <w:sz w:val="20"/>
          <w:szCs w:val="20"/>
        </w:rPr>
      </w:pPr>
      <w:r w:rsidRPr="00392643">
        <w:rPr>
          <w:rFonts w:ascii="Maax" w:hAnsi="Maax"/>
          <w:b/>
          <w:bCs/>
          <w:color w:val="73B967"/>
          <w:sz w:val="21"/>
          <w:szCs w:val="21"/>
          <w:u w:val="single"/>
        </w:rPr>
        <w:t xml:space="preserve">Prospettive di mercato e </w:t>
      </w:r>
      <w:r w:rsidR="002D49BC" w:rsidRPr="00392643">
        <w:rPr>
          <w:rFonts w:ascii="Maax" w:hAnsi="Maax"/>
          <w:b/>
          <w:bCs/>
          <w:color w:val="73B967"/>
          <w:sz w:val="21"/>
          <w:szCs w:val="21"/>
          <w:u w:val="single"/>
        </w:rPr>
        <w:t>Roadmap</w:t>
      </w:r>
      <w:r w:rsidR="008614E5" w:rsidRPr="00392643">
        <w:rPr>
          <w:rFonts w:ascii="Maax" w:hAnsi="Maax"/>
          <w:b/>
          <w:bCs/>
          <w:color w:val="73B967"/>
          <w:sz w:val="21"/>
          <w:szCs w:val="21"/>
          <w:u w:val="single"/>
        </w:rPr>
        <w:t xml:space="preserve"> al 2030</w:t>
      </w:r>
      <w:r w:rsidRPr="00392643">
        <w:rPr>
          <w:rFonts w:ascii="Maax" w:hAnsi="Maax"/>
          <w:b/>
          <w:bCs/>
          <w:color w:val="73B967"/>
          <w:sz w:val="21"/>
          <w:szCs w:val="21"/>
          <w:u w:val="single"/>
        </w:rPr>
        <w:t xml:space="preserve"> in 2 fasi</w:t>
      </w:r>
    </w:p>
    <w:p w14:paraId="1744A537" w14:textId="775DB5A2" w:rsidR="003C1367" w:rsidRPr="00392643" w:rsidRDefault="00037FD5" w:rsidP="003C1367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>La</w:t>
      </w:r>
      <w:r w:rsidR="003C1367" w:rsidRPr="00392643">
        <w:rPr>
          <w:rFonts w:ascii="Maax" w:hAnsi="Maax"/>
          <w:sz w:val="20"/>
          <w:szCs w:val="20"/>
        </w:rPr>
        <w:t xml:space="preserve"> ricarica rapida dell’Europa Meridionale, </w:t>
      </w:r>
      <w:r w:rsidR="0027247B" w:rsidRPr="00392643">
        <w:rPr>
          <w:rFonts w:ascii="Maax" w:hAnsi="Maax"/>
          <w:sz w:val="20"/>
          <w:szCs w:val="20"/>
        </w:rPr>
        <w:t>ovvero</w:t>
      </w:r>
      <w:r w:rsidR="003C1367" w:rsidRPr="00392643">
        <w:rPr>
          <w:rFonts w:ascii="Maax" w:hAnsi="Maax"/>
          <w:sz w:val="20"/>
          <w:szCs w:val="20"/>
        </w:rPr>
        <w:t xml:space="preserve"> Italia, Francia, Spagna e Portogallo (“</w:t>
      </w:r>
      <w:r w:rsidR="003C1367" w:rsidRPr="00392643">
        <w:rPr>
          <w:rFonts w:ascii="Maax" w:hAnsi="Maax"/>
          <w:b/>
          <w:bCs/>
          <w:sz w:val="20"/>
          <w:szCs w:val="20"/>
        </w:rPr>
        <w:t xml:space="preserve">Paesi </w:t>
      </w:r>
      <w:r w:rsidR="00AE32E8" w:rsidRPr="00392643">
        <w:rPr>
          <w:rFonts w:ascii="Maax" w:hAnsi="Maax"/>
          <w:b/>
          <w:bCs/>
          <w:sz w:val="20"/>
          <w:szCs w:val="20"/>
        </w:rPr>
        <w:t>Strategici</w:t>
      </w:r>
      <w:r w:rsidR="003C1367" w:rsidRPr="00392643">
        <w:rPr>
          <w:rFonts w:ascii="Maax" w:hAnsi="Maax"/>
          <w:sz w:val="20"/>
          <w:szCs w:val="20"/>
        </w:rPr>
        <w:t xml:space="preserve">”), è </w:t>
      </w:r>
      <w:r w:rsidRPr="00392643">
        <w:rPr>
          <w:rFonts w:ascii="Maax" w:hAnsi="Maax"/>
          <w:sz w:val="20"/>
          <w:szCs w:val="20"/>
        </w:rPr>
        <w:t xml:space="preserve">un mercato </w:t>
      </w:r>
      <w:r w:rsidR="003C1367" w:rsidRPr="00392643">
        <w:rPr>
          <w:rFonts w:ascii="Maax" w:hAnsi="Maax"/>
          <w:sz w:val="20"/>
          <w:szCs w:val="20"/>
        </w:rPr>
        <w:t xml:space="preserve">ancora nascente e con una rapida crescita prevista entro il 2030. Circa il 90% della rete di ricarica rapida “on-the-go” </w:t>
      </w:r>
      <w:r w:rsidR="0008491C" w:rsidRPr="00392643">
        <w:rPr>
          <w:rFonts w:ascii="Maax" w:hAnsi="Maax"/>
          <w:sz w:val="20"/>
          <w:szCs w:val="20"/>
        </w:rPr>
        <w:t xml:space="preserve">al </w:t>
      </w:r>
      <w:r w:rsidR="003C1367" w:rsidRPr="00392643">
        <w:rPr>
          <w:rFonts w:ascii="Maax" w:hAnsi="Maax"/>
          <w:sz w:val="20"/>
          <w:szCs w:val="20"/>
        </w:rPr>
        <w:t xml:space="preserve">2030 </w:t>
      </w:r>
      <w:r w:rsidR="0008491C" w:rsidRPr="00392643">
        <w:rPr>
          <w:rFonts w:ascii="Maax" w:hAnsi="Maax"/>
          <w:sz w:val="20"/>
          <w:szCs w:val="20"/>
        </w:rPr>
        <w:t>nel Sud Europa</w:t>
      </w:r>
      <w:r w:rsidR="003C1367" w:rsidRPr="00392643">
        <w:rPr>
          <w:rFonts w:ascii="Maax" w:hAnsi="Maax"/>
          <w:sz w:val="20"/>
          <w:szCs w:val="20"/>
        </w:rPr>
        <w:t xml:space="preserve"> deve ancora essere sviluppata, e questo costituisce </w:t>
      </w:r>
      <w:r w:rsidR="003244A7" w:rsidRPr="00392643">
        <w:rPr>
          <w:rFonts w:ascii="Maax" w:hAnsi="Maax"/>
          <w:sz w:val="20"/>
          <w:szCs w:val="20"/>
        </w:rPr>
        <w:t>l</w:t>
      </w:r>
      <w:r w:rsidR="003C1367" w:rsidRPr="00392643">
        <w:rPr>
          <w:rFonts w:ascii="Maax" w:hAnsi="Maax"/>
          <w:sz w:val="20"/>
          <w:szCs w:val="20"/>
        </w:rPr>
        <w:t xml:space="preserve">a </w:t>
      </w:r>
      <w:r w:rsidR="003244A7" w:rsidRPr="00392643">
        <w:rPr>
          <w:rFonts w:ascii="Maax" w:hAnsi="Maax"/>
          <w:sz w:val="20"/>
          <w:szCs w:val="20"/>
        </w:rPr>
        <w:t xml:space="preserve">più </w:t>
      </w:r>
      <w:r w:rsidR="003C1367" w:rsidRPr="00392643">
        <w:rPr>
          <w:rFonts w:ascii="Maax" w:hAnsi="Maax"/>
          <w:sz w:val="20"/>
          <w:szCs w:val="20"/>
        </w:rPr>
        <w:t xml:space="preserve">grande </w:t>
      </w:r>
      <w:r w:rsidR="00E42AA6" w:rsidRPr="00392643">
        <w:rPr>
          <w:rFonts w:ascii="Maax" w:hAnsi="Maax"/>
          <w:sz w:val="20"/>
          <w:szCs w:val="20"/>
        </w:rPr>
        <w:t xml:space="preserve">opportunità </w:t>
      </w:r>
      <w:r w:rsidR="003C1367" w:rsidRPr="00392643">
        <w:rPr>
          <w:rFonts w:ascii="Maax" w:hAnsi="Maax"/>
          <w:sz w:val="20"/>
          <w:szCs w:val="20"/>
        </w:rPr>
        <w:t xml:space="preserve">di </w:t>
      </w:r>
      <w:r w:rsidR="00A8719E" w:rsidRPr="00392643">
        <w:rPr>
          <w:rFonts w:ascii="Maax" w:hAnsi="Maax"/>
          <w:sz w:val="20"/>
          <w:szCs w:val="20"/>
        </w:rPr>
        <w:t>sviluppo</w:t>
      </w:r>
      <w:r w:rsidR="003C1367" w:rsidRPr="00392643">
        <w:rPr>
          <w:rFonts w:ascii="Maax" w:hAnsi="Maax"/>
          <w:sz w:val="20"/>
          <w:szCs w:val="20"/>
        </w:rPr>
        <w:t>.</w:t>
      </w:r>
    </w:p>
    <w:p w14:paraId="3F82DAE4" w14:textId="303C09AF" w:rsidR="003C1367" w:rsidRPr="00392643" w:rsidRDefault="00D54293" w:rsidP="003C1367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In particolare, secondo l'analisi effettuata da NHOA e Free2Move </w:t>
      </w:r>
      <w:proofErr w:type="spellStart"/>
      <w:r w:rsidRPr="00392643">
        <w:rPr>
          <w:rFonts w:ascii="Maax" w:hAnsi="Maax"/>
          <w:sz w:val="20"/>
          <w:szCs w:val="20"/>
        </w:rPr>
        <w:t>eSolutions</w:t>
      </w:r>
      <w:proofErr w:type="spellEnd"/>
      <w:r w:rsidRPr="00392643">
        <w:rPr>
          <w:rFonts w:ascii="Maax" w:hAnsi="Maax"/>
          <w:sz w:val="20"/>
          <w:szCs w:val="20"/>
        </w:rPr>
        <w:t xml:space="preserve"> con il supporto di McKinsey &amp; Co: (i) la penetrazione dei veicoli elettrici (BEV) e dei veicoli ibridi plug-in nei Paesi </w:t>
      </w:r>
      <w:r w:rsidR="00AE32E8" w:rsidRPr="00392643">
        <w:rPr>
          <w:rFonts w:ascii="Maax" w:hAnsi="Maax"/>
          <w:sz w:val="20"/>
          <w:szCs w:val="20"/>
        </w:rPr>
        <w:t xml:space="preserve">Strategici </w:t>
      </w:r>
      <w:r w:rsidRPr="00392643">
        <w:rPr>
          <w:rFonts w:ascii="Maax" w:hAnsi="Maax"/>
          <w:sz w:val="20"/>
          <w:szCs w:val="20"/>
        </w:rPr>
        <w:t xml:space="preserve">è prevista in crescita di 26 volte fino a 13 milioni di BEV entro il 2030, raggiungendo i 3 milioni entro il 2025, e (ii) la domanda di ricarica </w:t>
      </w:r>
      <w:r w:rsidR="0000316B" w:rsidRPr="00392643">
        <w:rPr>
          <w:rFonts w:ascii="Maax" w:hAnsi="Maax"/>
          <w:sz w:val="20"/>
          <w:szCs w:val="20"/>
        </w:rPr>
        <w:t>rapida</w:t>
      </w:r>
      <w:r w:rsidRPr="00392643">
        <w:rPr>
          <w:rFonts w:ascii="Maax" w:hAnsi="Maax"/>
          <w:sz w:val="20"/>
          <w:szCs w:val="20"/>
        </w:rPr>
        <w:t xml:space="preserve"> “on-the-go” prevede </w:t>
      </w:r>
      <w:r w:rsidR="00FE40E3" w:rsidRPr="00392643">
        <w:rPr>
          <w:rFonts w:ascii="Maax" w:hAnsi="Maax"/>
          <w:sz w:val="20"/>
          <w:szCs w:val="20"/>
        </w:rPr>
        <w:t xml:space="preserve">un </w:t>
      </w:r>
      <w:r w:rsidR="0000316B" w:rsidRPr="00392643">
        <w:rPr>
          <w:rFonts w:ascii="Maax" w:hAnsi="Maax"/>
          <w:sz w:val="20"/>
          <w:szCs w:val="20"/>
        </w:rPr>
        <w:t>aument</w:t>
      </w:r>
      <w:r w:rsidR="00FE40E3" w:rsidRPr="00392643">
        <w:rPr>
          <w:rFonts w:ascii="Maax" w:hAnsi="Maax"/>
          <w:sz w:val="20"/>
          <w:szCs w:val="20"/>
        </w:rPr>
        <w:t>o</w:t>
      </w:r>
      <w:r w:rsidR="0000316B" w:rsidRPr="00392643">
        <w:rPr>
          <w:rFonts w:ascii="Maax" w:hAnsi="Maax"/>
          <w:sz w:val="20"/>
          <w:szCs w:val="20"/>
        </w:rPr>
        <w:t xml:space="preserve"> </w:t>
      </w:r>
      <w:r w:rsidRPr="00392643">
        <w:rPr>
          <w:rFonts w:ascii="Maax" w:hAnsi="Maax"/>
          <w:sz w:val="20"/>
          <w:szCs w:val="20"/>
        </w:rPr>
        <w:t>di 46 volte fino a 9 TWh entro il 2030, e fino a 1,9 TWh entro il 2025. Gli operatori di sistemi di ricarica saranno al centro della scena in questo mercato, e il ruolo di operatore</w:t>
      </w:r>
      <w:r w:rsidR="00F4309C" w:rsidRPr="00392643">
        <w:rPr>
          <w:rFonts w:ascii="Maax" w:hAnsi="Maax"/>
          <w:sz w:val="20"/>
          <w:szCs w:val="20"/>
        </w:rPr>
        <w:t xml:space="preserve"> e gestore</w:t>
      </w:r>
      <w:r w:rsidRPr="00392643">
        <w:rPr>
          <w:rFonts w:ascii="Maax" w:hAnsi="Maax"/>
          <w:sz w:val="20"/>
          <w:szCs w:val="20"/>
        </w:rPr>
        <w:t xml:space="preserve"> rappresent</w:t>
      </w:r>
      <w:r w:rsidR="00F4309C" w:rsidRPr="00392643">
        <w:rPr>
          <w:rFonts w:ascii="Maax" w:hAnsi="Maax"/>
          <w:sz w:val="20"/>
          <w:szCs w:val="20"/>
        </w:rPr>
        <w:t xml:space="preserve">erà la vera </w:t>
      </w:r>
      <w:r w:rsidRPr="00392643">
        <w:rPr>
          <w:rFonts w:ascii="Maax" w:hAnsi="Maax"/>
          <w:sz w:val="20"/>
          <w:szCs w:val="20"/>
        </w:rPr>
        <w:t xml:space="preserve">opportunità </w:t>
      </w:r>
      <w:r w:rsidR="00F4309C" w:rsidRPr="00392643">
        <w:rPr>
          <w:rFonts w:ascii="Maax" w:hAnsi="Maax"/>
          <w:sz w:val="20"/>
          <w:szCs w:val="20"/>
        </w:rPr>
        <w:t>di</w:t>
      </w:r>
      <w:r w:rsidRPr="00392643">
        <w:rPr>
          <w:rFonts w:ascii="Maax" w:hAnsi="Maax"/>
          <w:sz w:val="20"/>
          <w:szCs w:val="20"/>
        </w:rPr>
        <w:t xml:space="preserve"> lungo termine nel mercato della ricarica </w:t>
      </w:r>
      <w:r w:rsidR="00F4309C" w:rsidRPr="00392643">
        <w:rPr>
          <w:rFonts w:ascii="Maax" w:hAnsi="Maax"/>
          <w:sz w:val="20"/>
          <w:szCs w:val="20"/>
        </w:rPr>
        <w:t>pubblica</w:t>
      </w:r>
      <w:r w:rsidRPr="00392643">
        <w:rPr>
          <w:rFonts w:ascii="Maax" w:hAnsi="Maax"/>
          <w:sz w:val="20"/>
          <w:szCs w:val="20"/>
        </w:rPr>
        <w:t xml:space="preserve">. </w:t>
      </w:r>
    </w:p>
    <w:p w14:paraId="418A7352" w14:textId="77777777" w:rsidR="00392643" w:rsidRDefault="00392643" w:rsidP="007660D1">
      <w:pPr>
        <w:spacing w:after="120" w:line="288" w:lineRule="auto"/>
        <w:jc w:val="both"/>
        <w:rPr>
          <w:rFonts w:ascii="Maax" w:hAnsi="Maax"/>
          <w:sz w:val="20"/>
          <w:szCs w:val="20"/>
        </w:rPr>
      </w:pPr>
    </w:p>
    <w:p w14:paraId="477D1E34" w14:textId="6DB12FFA" w:rsidR="003C1367" w:rsidRPr="00392643" w:rsidRDefault="00266A0A" w:rsidP="007660D1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lastRenderedPageBreak/>
        <w:t>Date le dimensioni</w:t>
      </w:r>
      <w:r w:rsidR="002C130E" w:rsidRPr="00392643">
        <w:rPr>
          <w:rFonts w:ascii="Maax" w:hAnsi="Maax"/>
          <w:sz w:val="20"/>
          <w:szCs w:val="20"/>
        </w:rPr>
        <w:t xml:space="preserve"> attese</w:t>
      </w:r>
      <w:r w:rsidRPr="00392643">
        <w:rPr>
          <w:rFonts w:ascii="Maax" w:hAnsi="Maax"/>
          <w:sz w:val="20"/>
          <w:szCs w:val="20"/>
        </w:rPr>
        <w:t xml:space="preserve"> </w:t>
      </w:r>
      <w:r w:rsidR="002C130E" w:rsidRPr="00392643">
        <w:rPr>
          <w:rFonts w:ascii="Maax" w:hAnsi="Maax"/>
          <w:sz w:val="20"/>
          <w:szCs w:val="20"/>
        </w:rPr>
        <w:t>del</w:t>
      </w:r>
      <w:r w:rsidRPr="00392643">
        <w:rPr>
          <w:rFonts w:ascii="Maax" w:hAnsi="Maax"/>
          <w:sz w:val="20"/>
          <w:szCs w:val="20"/>
        </w:rPr>
        <w:t xml:space="preserve"> mercato, il Progetto Atlante ha l'ambizione di sviluppare</w:t>
      </w:r>
      <w:r w:rsidR="000447CF" w:rsidRPr="00392643">
        <w:rPr>
          <w:rFonts w:ascii="Maax" w:hAnsi="Maax"/>
          <w:sz w:val="20"/>
          <w:szCs w:val="20"/>
        </w:rPr>
        <w:t xml:space="preserve"> nei Paesi Strategici</w:t>
      </w:r>
      <w:r w:rsidRPr="00392643">
        <w:rPr>
          <w:rFonts w:ascii="Maax" w:hAnsi="Maax"/>
          <w:sz w:val="20"/>
          <w:szCs w:val="20"/>
        </w:rPr>
        <w:t>, nei prossimi 10 anni</w:t>
      </w:r>
      <w:r w:rsidR="000447CF" w:rsidRPr="00392643">
        <w:rPr>
          <w:rFonts w:ascii="Maax" w:hAnsi="Maax"/>
          <w:sz w:val="20"/>
          <w:szCs w:val="20"/>
        </w:rPr>
        <w:t xml:space="preserve"> ed</w:t>
      </w:r>
      <w:r w:rsidRPr="00392643">
        <w:rPr>
          <w:rFonts w:ascii="Maax" w:hAnsi="Maax"/>
          <w:sz w:val="20"/>
          <w:szCs w:val="20"/>
        </w:rPr>
        <w:t xml:space="preserve"> in linea con quanto annunciato da </w:t>
      </w:r>
      <w:proofErr w:type="spellStart"/>
      <w:r w:rsidRPr="00392643">
        <w:rPr>
          <w:rFonts w:ascii="Maax" w:hAnsi="Maax"/>
          <w:sz w:val="20"/>
          <w:szCs w:val="20"/>
        </w:rPr>
        <w:t>Stellantis</w:t>
      </w:r>
      <w:proofErr w:type="spellEnd"/>
      <w:r w:rsidRPr="00392643">
        <w:rPr>
          <w:rFonts w:ascii="Maax" w:hAnsi="Maax"/>
          <w:sz w:val="20"/>
          <w:szCs w:val="20"/>
        </w:rPr>
        <w:t xml:space="preserve"> </w:t>
      </w:r>
      <w:r w:rsidR="002C130E" w:rsidRPr="00392643">
        <w:rPr>
          <w:rFonts w:ascii="Maax" w:hAnsi="Maax"/>
          <w:sz w:val="20"/>
          <w:szCs w:val="20"/>
        </w:rPr>
        <w:t>durante l’</w:t>
      </w:r>
      <w:r w:rsidRPr="00392643">
        <w:rPr>
          <w:rFonts w:ascii="Maax" w:hAnsi="Maax"/>
          <w:sz w:val="20"/>
          <w:szCs w:val="20"/>
        </w:rPr>
        <w:t xml:space="preserve">EV </w:t>
      </w:r>
      <w:proofErr w:type="spellStart"/>
      <w:r w:rsidRPr="00392643">
        <w:rPr>
          <w:rFonts w:ascii="Maax" w:hAnsi="Maax"/>
          <w:sz w:val="20"/>
          <w:szCs w:val="20"/>
        </w:rPr>
        <w:t>Day</w:t>
      </w:r>
      <w:proofErr w:type="spellEnd"/>
      <w:r w:rsidRPr="00392643">
        <w:rPr>
          <w:rFonts w:ascii="Maax" w:hAnsi="Maax"/>
          <w:sz w:val="20"/>
          <w:szCs w:val="20"/>
        </w:rPr>
        <w:t xml:space="preserve"> 2021 </w:t>
      </w:r>
      <w:r w:rsidR="002C130E" w:rsidRPr="00392643">
        <w:rPr>
          <w:rFonts w:ascii="Maax" w:hAnsi="Maax"/>
          <w:sz w:val="20"/>
          <w:szCs w:val="20"/>
        </w:rPr>
        <w:t xml:space="preserve">dello scorso </w:t>
      </w:r>
      <w:r w:rsidRPr="00392643">
        <w:rPr>
          <w:rFonts w:ascii="Maax" w:hAnsi="Maax"/>
          <w:sz w:val="20"/>
          <w:szCs w:val="20"/>
        </w:rPr>
        <w:t>8 luglio:</w:t>
      </w:r>
    </w:p>
    <w:p w14:paraId="25FC9838" w14:textId="4448F3D4" w:rsidR="003C1367" w:rsidRPr="00392643" w:rsidRDefault="003C1367" w:rsidP="003C1367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entro il 2025: stazioni di ricarica in oltre 1.500 siti, con circa 5.000 </w:t>
      </w:r>
      <w:r w:rsidR="00093BBA" w:rsidRPr="00392643">
        <w:rPr>
          <w:rFonts w:ascii="Maax" w:hAnsi="Maax"/>
          <w:sz w:val="20"/>
          <w:szCs w:val="20"/>
        </w:rPr>
        <w:t>punti</w:t>
      </w:r>
      <w:r w:rsidR="000C6F81" w:rsidRPr="00392643">
        <w:rPr>
          <w:rFonts w:ascii="Maax" w:hAnsi="Maax"/>
          <w:sz w:val="20"/>
          <w:szCs w:val="20"/>
        </w:rPr>
        <w:t xml:space="preserve"> </w:t>
      </w:r>
      <w:r w:rsidRPr="00392643">
        <w:rPr>
          <w:rFonts w:ascii="Maax" w:hAnsi="Maax"/>
          <w:sz w:val="20"/>
          <w:szCs w:val="20"/>
        </w:rPr>
        <w:t>di ricarica</w:t>
      </w:r>
      <w:r w:rsidR="00174528" w:rsidRPr="00392643">
        <w:rPr>
          <w:rFonts w:ascii="Maax" w:hAnsi="Maax"/>
          <w:sz w:val="20"/>
          <w:szCs w:val="20"/>
        </w:rPr>
        <w:t xml:space="preserve"> rapida</w:t>
      </w:r>
      <w:r w:rsidRPr="00392643">
        <w:rPr>
          <w:rFonts w:ascii="Maax" w:hAnsi="Maax"/>
          <w:sz w:val="20"/>
          <w:szCs w:val="20"/>
        </w:rPr>
        <w:t xml:space="preserve"> </w:t>
      </w:r>
      <w:r w:rsidR="00174528" w:rsidRPr="00392643">
        <w:rPr>
          <w:rFonts w:ascii="Maax" w:hAnsi="Maax"/>
          <w:sz w:val="20"/>
          <w:szCs w:val="20"/>
        </w:rPr>
        <w:t>VGI</w:t>
      </w:r>
      <w:r w:rsidRPr="00392643">
        <w:rPr>
          <w:rFonts w:ascii="Maax" w:hAnsi="Maax"/>
          <w:sz w:val="20"/>
          <w:szCs w:val="20"/>
        </w:rPr>
        <w:t xml:space="preserve"> integrati con </w:t>
      </w:r>
      <w:r w:rsidR="00093BBA" w:rsidRPr="00392643">
        <w:rPr>
          <w:rFonts w:ascii="Maax" w:hAnsi="Maax"/>
          <w:sz w:val="20"/>
          <w:szCs w:val="20"/>
        </w:rPr>
        <w:t xml:space="preserve">sistemi di accumulo </w:t>
      </w:r>
      <w:proofErr w:type="gramStart"/>
      <w:r w:rsidR="00093BBA" w:rsidRPr="00392643">
        <w:rPr>
          <w:rFonts w:ascii="Maax" w:hAnsi="Maax"/>
          <w:sz w:val="20"/>
          <w:szCs w:val="20"/>
        </w:rPr>
        <w:t>e</w:t>
      </w:r>
      <w:proofErr w:type="gramEnd"/>
      <w:r w:rsidR="00093BBA" w:rsidRPr="00392643">
        <w:rPr>
          <w:rFonts w:ascii="Maax" w:hAnsi="Maax"/>
          <w:sz w:val="20"/>
          <w:szCs w:val="20"/>
        </w:rPr>
        <w:t xml:space="preserve"> energie rinnovabili</w:t>
      </w:r>
      <w:r w:rsidRPr="00392643">
        <w:rPr>
          <w:rFonts w:ascii="Maax" w:hAnsi="Maax"/>
          <w:sz w:val="20"/>
          <w:szCs w:val="20"/>
        </w:rPr>
        <w:t xml:space="preserve"> (“</w:t>
      </w:r>
      <w:r w:rsidRPr="00392643">
        <w:rPr>
          <w:rFonts w:ascii="Maax" w:hAnsi="Maax"/>
          <w:b/>
          <w:bCs/>
          <w:sz w:val="20"/>
          <w:szCs w:val="20"/>
        </w:rPr>
        <w:t>Fase 1</w:t>
      </w:r>
      <w:r w:rsidRPr="00392643">
        <w:rPr>
          <w:rFonts w:ascii="Maax" w:hAnsi="Maax"/>
          <w:sz w:val="20"/>
          <w:szCs w:val="20"/>
        </w:rPr>
        <w:t>”); e</w:t>
      </w:r>
    </w:p>
    <w:p w14:paraId="6C6C24D0" w14:textId="2AFBD871" w:rsidR="00AD2644" w:rsidRPr="00392643" w:rsidRDefault="003C1367" w:rsidP="00392643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entro il 2030: stazioni di ricarica in </w:t>
      </w:r>
      <w:r w:rsidR="004237E0" w:rsidRPr="00392643">
        <w:rPr>
          <w:rFonts w:ascii="Maax" w:hAnsi="Maax"/>
          <w:sz w:val="20"/>
          <w:szCs w:val="20"/>
        </w:rPr>
        <w:t xml:space="preserve">circa </w:t>
      </w:r>
      <w:r w:rsidRPr="00392643">
        <w:rPr>
          <w:rFonts w:ascii="Maax" w:hAnsi="Maax"/>
          <w:sz w:val="20"/>
          <w:szCs w:val="20"/>
        </w:rPr>
        <w:t xml:space="preserve">9.000 siti, con circa 35.000 </w:t>
      </w:r>
      <w:r w:rsidR="00B82E13" w:rsidRPr="00392643">
        <w:rPr>
          <w:rFonts w:ascii="Maax" w:hAnsi="Maax"/>
          <w:sz w:val="20"/>
          <w:szCs w:val="20"/>
        </w:rPr>
        <w:t xml:space="preserve">punti </w:t>
      </w:r>
      <w:r w:rsidR="003A1BB0" w:rsidRPr="00392643">
        <w:rPr>
          <w:rFonts w:ascii="Maax" w:hAnsi="Maax"/>
          <w:sz w:val="20"/>
          <w:szCs w:val="20"/>
        </w:rPr>
        <w:t xml:space="preserve">di ricarica rapida </w:t>
      </w:r>
      <w:r w:rsidRPr="00392643">
        <w:rPr>
          <w:rFonts w:ascii="Maax" w:hAnsi="Maax"/>
          <w:sz w:val="20"/>
          <w:szCs w:val="20"/>
        </w:rPr>
        <w:t>VGI integrati con storage e solare (“</w:t>
      </w:r>
      <w:r w:rsidRPr="00392643">
        <w:rPr>
          <w:rFonts w:ascii="Maax" w:hAnsi="Maax"/>
          <w:b/>
          <w:bCs/>
          <w:sz w:val="20"/>
          <w:szCs w:val="20"/>
        </w:rPr>
        <w:t>Fase 2</w:t>
      </w:r>
      <w:r w:rsidRPr="00392643">
        <w:rPr>
          <w:rFonts w:ascii="Maax" w:hAnsi="Maax"/>
          <w:sz w:val="20"/>
          <w:szCs w:val="20"/>
        </w:rPr>
        <w:t>”).</w:t>
      </w:r>
    </w:p>
    <w:p w14:paraId="2CD0972A" w14:textId="6DFEDF41" w:rsidR="002B516A" w:rsidRPr="00392643" w:rsidRDefault="00691E23" w:rsidP="002B516A">
      <w:pPr>
        <w:spacing w:before="240" w:after="120" w:line="288" w:lineRule="auto"/>
        <w:rPr>
          <w:rFonts w:ascii="Maax" w:hAnsi="Maax" w:cs="Arial"/>
          <w:color w:val="73B967"/>
          <w:sz w:val="20"/>
          <w:szCs w:val="20"/>
        </w:rPr>
      </w:pPr>
      <w:r w:rsidRPr="00392643">
        <w:rPr>
          <w:rFonts w:ascii="Maax" w:hAnsi="Maax"/>
          <w:b/>
          <w:bCs/>
          <w:color w:val="73B967"/>
          <w:sz w:val="21"/>
          <w:szCs w:val="21"/>
          <w:u w:val="single"/>
        </w:rPr>
        <w:t>Perimetro e obiettivi</w:t>
      </w:r>
    </w:p>
    <w:p w14:paraId="5943F9E0" w14:textId="229CD7CF" w:rsidR="002B516A" w:rsidRPr="00392643" w:rsidRDefault="000447CF" w:rsidP="002B516A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>Il</w:t>
      </w:r>
      <w:r w:rsidR="001370F5" w:rsidRPr="00392643">
        <w:rPr>
          <w:rFonts w:ascii="Maax" w:hAnsi="Maax"/>
          <w:sz w:val="20"/>
          <w:szCs w:val="20"/>
        </w:rPr>
        <w:t xml:space="preserve"> </w:t>
      </w:r>
      <w:r w:rsidR="00AD2662" w:rsidRPr="00392643">
        <w:rPr>
          <w:rFonts w:ascii="Maax" w:hAnsi="Maax"/>
          <w:sz w:val="20"/>
          <w:szCs w:val="20"/>
        </w:rPr>
        <w:t xml:space="preserve">Network </w:t>
      </w:r>
      <w:r w:rsidR="001370F5" w:rsidRPr="00392643">
        <w:rPr>
          <w:rFonts w:ascii="Maax" w:hAnsi="Maax"/>
          <w:sz w:val="20"/>
          <w:szCs w:val="20"/>
        </w:rPr>
        <w:t xml:space="preserve">Atlante </w:t>
      </w:r>
      <w:r w:rsidR="00015A51" w:rsidRPr="00392643">
        <w:rPr>
          <w:rFonts w:ascii="Maax" w:hAnsi="Maax"/>
          <w:sz w:val="20"/>
          <w:szCs w:val="20"/>
        </w:rPr>
        <w:t xml:space="preserve">rispetterà </w:t>
      </w:r>
      <w:r w:rsidR="001370F5" w:rsidRPr="00392643">
        <w:rPr>
          <w:rFonts w:ascii="Maax" w:hAnsi="Maax"/>
          <w:sz w:val="20"/>
          <w:szCs w:val="20"/>
        </w:rPr>
        <w:t xml:space="preserve">rigorose caratteristiche tecniche </w:t>
      </w:r>
      <w:r w:rsidR="00CD2BEA" w:rsidRPr="00392643">
        <w:rPr>
          <w:rFonts w:ascii="Maax" w:hAnsi="Maax"/>
          <w:sz w:val="20"/>
          <w:szCs w:val="20"/>
        </w:rPr>
        <w:t>iconiche</w:t>
      </w:r>
      <w:r w:rsidR="001370F5" w:rsidRPr="00392643">
        <w:rPr>
          <w:rFonts w:ascii="Maax" w:hAnsi="Maax"/>
          <w:sz w:val="20"/>
          <w:szCs w:val="20"/>
        </w:rPr>
        <w:t xml:space="preserve">: </w:t>
      </w:r>
    </w:p>
    <w:p w14:paraId="1FD5FB7D" w14:textId="4C133C66" w:rsidR="002B516A" w:rsidRPr="00392643" w:rsidRDefault="007E3C70" w:rsidP="007E3C70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b/>
          <w:bCs/>
          <w:sz w:val="20"/>
          <w:szCs w:val="20"/>
        </w:rPr>
        <w:t>tecnologia di ricarica rapida fino a 200kW di potenza</w:t>
      </w:r>
      <w:r w:rsidRPr="00392643">
        <w:rPr>
          <w:rFonts w:ascii="Maax" w:hAnsi="Maax"/>
          <w:sz w:val="20"/>
          <w:szCs w:val="20"/>
        </w:rPr>
        <w:t>, adeguata alle esigenze di ricarica “on-the-go” dei clienti, di massimo 15-30 min</w:t>
      </w:r>
      <w:r w:rsidR="00360F67" w:rsidRPr="00392643">
        <w:rPr>
          <w:rFonts w:ascii="Maax" w:hAnsi="Maax"/>
          <w:sz w:val="20"/>
          <w:szCs w:val="20"/>
        </w:rPr>
        <w:t>uti</w:t>
      </w:r>
      <w:r w:rsidRPr="00392643">
        <w:rPr>
          <w:rFonts w:ascii="Maax" w:hAnsi="Maax"/>
          <w:sz w:val="20"/>
          <w:szCs w:val="20"/>
        </w:rPr>
        <w:t xml:space="preserve">, con un'unica </w:t>
      </w:r>
      <w:r w:rsidR="00004385" w:rsidRPr="00392643">
        <w:rPr>
          <w:rFonts w:ascii="Maax" w:hAnsi="Maax"/>
          <w:sz w:val="20"/>
          <w:szCs w:val="20"/>
        </w:rPr>
        <w:t>configurazione</w:t>
      </w:r>
      <w:r w:rsidRPr="00392643">
        <w:rPr>
          <w:rFonts w:ascii="Maax" w:hAnsi="Maax"/>
          <w:sz w:val="20"/>
          <w:szCs w:val="20"/>
        </w:rPr>
        <w:t xml:space="preserve"> centralizzata de</w:t>
      </w:r>
      <w:r w:rsidR="00CD2BEA" w:rsidRPr="00392643">
        <w:rPr>
          <w:rFonts w:ascii="Maax" w:hAnsi="Maax"/>
          <w:sz w:val="20"/>
          <w:szCs w:val="20"/>
        </w:rPr>
        <w:t>i punti di ricarica</w:t>
      </w:r>
      <w:r w:rsidRPr="00392643">
        <w:rPr>
          <w:rFonts w:ascii="Maax" w:hAnsi="Maax"/>
          <w:sz w:val="20"/>
          <w:szCs w:val="20"/>
        </w:rPr>
        <w:t xml:space="preserve"> per facilitare l'aumento progressivo </w:t>
      </w:r>
      <w:r w:rsidR="00CD2BEA" w:rsidRPr="00392643">
        <w:rPr>
          <w:rFonts w:ascii="Maax" w:hAnsi="Maax"/>
          <w:sz w:val="20"/>
          <w:szCs w:val="20"/>
        </w:rPr>
        <w:t>e scalabile</w:t>
      </w:r>
      <w:r w:rsidRPr="00392643">
        <w:rPr>
          <w:rFonts w:ascii="Maax" w:hAnsi="Maax"/>
          <w:sz w:val="20"/>
          <w:szCs w:val="20"/>
        </w:rPr>
        <w:t xml:space="preserve"> </w:t>
      </w:r>
      <w:r w:rsidR="00613F1C" w:rsidRPr="00392643">
        <w:rPr>
          <w:rFonts w:ascii="Maax" w:hAnsi="Maax"/>
          <w:sz w:val="20"/>
          <w:szCs w:val="20"/>
        </w:rPr>
        <w:t>dell’infrastruttura</w:t>
      </w:r>
      <w:r w:rsidRPr="00392643">
        <w:rPr>
          <w:rFonts w:ascii="Maax" w:hAnsi="Maax"/>
          <w:sz w:val="20"/>
          <w:szCs w:val="20"/>
        </w:rPr>
        <w:t xml:space="preserve">. Le stazioni di ricarica saranno dotate di </w:t>
      </w:r>
      <w:r w:rsidR="00902656" w:rsidRPr="00392643">
        <w:rPr>
          <w:rFonts w:ascii="Maax" w:hAnsi="Maax"/>
          <w:sz w:val="20"/>
          <w:szCs w:val="20"/>
        </w:rPr>
        <w:t xml:space="preserve">pensiline </w:t>
      </w:r>
      <w:r w:rsidRPr="00392643">
        <w:rPr>
          <w:rFonts w:ascii="Maax" w:hAnsi="Maax"/>
          <w:sz w:val="20"/>
          <w:szCs w:val="20"/>
        </w:rPr>
        <w:t>per un</w:t>
      </w:r>
      <w:r w:rsidR="00613F1C" w:rsidRPr="00392643">
        <w:rPr>
          <w:rFonts w:ascii="Maax" w:hAnsi="Maax"/>
          <w:sz w:val="20"/>
          <w:szCs w:val="20"/>
        </w:rPr>
        <w:t>’</w:t>
      </w:r>
      <w:r w:rsidR="005A357D" w:rsidRPr="00392643">
        <w:rPr>
          <w:rFonts w:ascii="Maax" w:hAnsi="Maax"/>
          <w:sz w:val="20"/>
          <w:szCs w:val="20"/>
        </w:rPr>
        <w:t xml:space="preserve">esperienza di </w:t>
      </w:r>
      <w:r w:rsidRPr="00392643">
        <w:rPr>
          <w:rFonts w:ascii="Maax" w:hAnsi="Maax"/>
          <w:sz w:val="20"/>
          <w:szCs w:val="20"/>
        </w:rPr>
        <w:t>ricarica e parcheggi</w:t>
      </w:r>
      <w:r w:rsidR="005A357D" w:rsidRPr="00392643">
        <w:rPr>
          <w:rFonts w:ascii="Maax" w:hAnsi="Maax"/>
          <w:sz w:val="20"/>
          <w:szCs w:val="20"/>
        </w:rPr>
        <w:t>o</w:t>
      </w:r>
      <w:r w:rsidR="00613F1C" w:rsidRPr="00392643">
        <w:rPr>
          <w:rFonts w:ascii="Maax" w:hAnsi="Maax"/>
          <w:sz w:val="20"/>
          <w:szCs w:val="20"/>
        </w:rPr>
        <w:t xml:space="preserve"> più confortevole</w:t>
      </w:r>
      <w:r w:rsidRPr="00392643">
        <w:rPr>
          <w:rFonts w:ascii="Maax" w:hAnsi="Maax"/>
          <w:sz w:val="20"/>
          <w:szCs w:val="20"/>
        </w:rPr>
        <w:t>.</w:t>
      </w:r>
    </w:p>
    <w:p w14:paraId="6F1DC093" w14:textId="2385F23C" w:rsidR="002B516A" w:rsidRPr="00392643" w:rsidRDefault="003200B4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b/>
          <w:bCs/>
          <w:sz w:val="20"/>
          <w:szCs w:val="20"/>
        </w:rPr>
        <w:t>stazioni di ricarica completamente integrate in</w:t>
      </w:r>
      <w:r w:rsidR="008A1E9B" w:rsidRPr="00392643">
        <w:rPr>
          <w:rFonts w:ascii="Maax" w:hAnsi="Maax"/>
          <w:b/>
          <w:bCs/>
          <w:sz w:val="20"/>
          <w:szCs w:val="20"/>
        </w:rPr>
        <w:t xml:space="preserve"> </w:t>
      </w:r>
      <w:proofErr w:type="spellStart"/>
      <w:r w:rsidRPr="00392643">
        <w:rPr>
          <w:rFonts w:ascii="Maax" w:hAnsi="Maax"/>
          <w:b/>
          <w:bCs/>
          <w:sz w:val="20"/>
          <w:szCs w:val="20"/>
        </w:rPr>
        <w:t>micro</w:t>
      </w:r>
      <w:r w:rsidR="00453565" w:rsidRPr="00392643">
        <w:rPr>
          <w:rFonts w:ascii="Maax" w:hAnsi="Maax"/>
          <w:b/>
          <w:bCs/>
          <w:sz w:val="20"/>
          <w:szCs w:val="20"/>
        </w:rPr>
        <w:t>reti</w:t>
      </w:r>
      <w:proofErr w:type="spellEnd"/>
      <w:r w:rsidRPr="00392643">
        <w:rPr>
          <w:rFonts w:ascii="Maax" w:hAnsi="Maax"/>
          <w:b/>
          <w:bCs/>
          <w:sz w:val="20"/>
          <w:szCs w:val="20"/>
        </w:rPr>
        <w:t xml:space="preserve"> , con soluzioni di </w:t>
      </w:r>
      <w:r w:rsidR="00EC240E" w:rsidRPr="00392643">
        <w:rPr>
          <w:rFonts w:ascii="Maax" w:hAnsi="Maax"/>
          <w:b/>
          <w:bCs/>
          <w:sz w:val="20"/>
          <w:szCs w:val="20"/>
        </w:rPr>
        <w:t xml:space="preserve">stoccaggio </w:t>
      </w:r>
      <w:r w:rsidRPr="00392643">
        <w:rPr>
          <w:rFonts w:ascii="Maax" w:hAnsi="Maax"/>
          <w:b/>
          <w:bCs/>
          <w:sz w:val="20"/>
          <w:szCs w:val="20"/>
        </w:rPr>
        <w:t xml:space="preserve">e fonti di energia rinnovabile </w:t>
      </w:r>
      <w:r w:rsidRPr="00392643">
        <w:rPr>
          <w:rFonts w:ascii="Maax" w:hAnsi="Maax"/>
          <w:sz w:val="20"/>
          <w:szCs w:val="20"/>
        </w:rPr>
        <w:t xml:space="preserve">per ottimizzare i costi di ricarica e i servizi di integrazione </w:t>
      </w:r>
      <w:proofErr w:type="spellStart"/>
      <w:r w:rsidRPr="00392643">
        <w:rPr>
          <w:rFonts w:ascii="Maax" w:hAnsi="Maax"/>
          <w:i/>
          <w:iCs/>
          <w:sz w:val="20"/>
          <w:szCs w:val="20"/>
        </w:rPr>
        <w:t>ve</w:t>
      </w:r>
      <w:r w:rsidR="00971DC5" w:rsidRPr="00392643">
        <w:rPr>
          <w:rFonts w:ascii="Maax" w:hAnsi="Maax"/>
          <w:i/>
          <w:iCs/>
          <w:sz w:val="20"/>
          <w:szCs w:val="20"/>
        </w:rPr>
        <w:t>h</w:t>
      </w:r>
      <w:r w:rsidRPr="00392643">
        <w:rPr>
          <w:rFonts w:ascii="Maax" w:hAnsi="Maax"/>
          <w:i/>
          <w:iCs/>
          <w:sz w:val="20"/>
          <w:szCs w:val="20"/>
        </w:rPr>
        <w:t>ic</w:t>
      </w:r>
      <w:r w:rsidR="00971DC5" w:rsidRPr="00392643">
        <w:rPr>
          <w:rFonts w:ascii="Maax" w:hAnsi="Maax"/>
          <w:i/>
          <w:iCs/>
          <w:sz w:val="20"/>
          <w:szCs w:val="20"/>
        </w:rPr>
        <w:t>le</w:t>
      </w:r>
      <w:proofErr w:type="spellEnd"/>
      <w:r w:rsidR="00971DC5" w:rsidRPr="00392643">
        <w:rPr>
          <w:rFonts w:ascii="Maax" w:hAnsi="Maax"/>
          <w:i/>
          <w:iCs/>
          <w:sz w:val="20"/>
          <w:szCs w:val="20"/>
        </w:rPr>
        <w:t>-to-</w:t>
      </w:r>
      <w:proofErr w:type="spellStart"/>
      <w:r w:rsidR="00971DC5" w:rsidRPr="00392643">
        <w:rPr>
          <w:rFonts w:ascii="Maax" w:hAnsi="Maax"/>
          <w:i/>
          <w:iCs/>
          <w:sz w:val="20"/>
          <w:szCs w:val="20"/>
        </w:rPr>
        <w:t>grid</w:t>
      </w:r>
      <w:proofErr w:type="spellEnd"/>
      <w:r w:rsidRPr="00392643">
        <w:rPr>
          <w:rFonts w:ascii="Maax" w:hAnsi="Maax"/>
          <w:sz w:val="20"/>
          <w:szCs w:val="20"/>
        </w:rPr>
        <w:t xml:space="preserve">, che a seconda della configurazione dei siti includeranno: (i) batterie con oltre 100kWh di capacità per facilitare i servizi VGI, (ii) batterie </w:t>
      </w:r>
      <w:r w:rsidR="009567A5" w:rsidRPr="00392643">
        <w:rPr>
          <w:rFonts w:ascii="Maax" w:hAnsi="Maax"/>
          <w:i/>
          <w:iCs/>
          <w:sz w:val="20"/>
          <w:szCs w:val="20"/>
        </w:rPr>
        <w:t>second-life</w:t>
      </w:r>
      <w:r w:rsidRPr="00392643">
        <w:rPr>
          <w:rFonts w:ascii="Maax" w:hAnsi="Maax"/>
          <w:sz w:val="20"/>
          <w:szCs w:val="20"/>
        </w:rPr>
        <w:t xml:space="preserve"> per garantire una configurazione efficace in termini di costi; (ii) </w:t>
      </w:r>
      <w:r w:rsidR="00177E0B" w:rsidRPr="00392643">
        <w:rPr>
          <w:rFonts w:ascii="Maax" w:hAnsi="Maax"/>
          <w:sz w:val="20"/>
          <w:szCs w:val="20"/>
        </w:rPr>
        <w:t xml:space="preserve">una </w:t>
      </w:r>
      <w:r w:rsidRPr="00392643">
        <w:rPr>
          <w:rFonts w:ascii="Maax" w:hAnsi="Maax"/>
          <w:sz w:val="20"/>
          <w:szCs w:val="20"/>
        </w:rPr>
        <w:t xml:space="preserve">fonte di energia rinnovabile aggiuntiva </w:t>
      </w:r>
      <w:r w:rsidR="00A65DE9" w:rsidRPr="00392643">
        <w:rPr>
          <w:rFonts w:ascii="Maax" w:hAnsi="Maax"/>
          <w:sz w:val="20"/>
          <w:szCs w:val="20"/>
        </w:rPr>
        <w:t>grazie a</w:t>
      </w:r>
      <w:r w:rsidRPr="00392643">
        <w:rPr>
          <w:rFonts w:ascii="Maax" w:hAnsi="Maax"/>
          <w:sz w:val="20"/>
          <w:szCs w:val="20"/>
        </w:rPr>
        <w:t xml:space="preserve"> pannelli solari integrati nelle </w:t>
      </w:r>
      <w:r w:rsidR="00971DC5" w:rsidRPr="00392643">
        <w:rPr>
          <w:rFonts w:ascii="Maax" w:hAnsi="Maax"/>
          <w:sz w:val="20"/>
          <w:szCs w:val="20"/>
        </w:rPr>
        <w:t>pensiline</w:t>
      </w:r>
      <w:r w:rsidRPr="00392643">
        <w:rPr>
          <w:rFonts w:ascii="Maax" w:hAnsi="Maax"/>
          <w:sz w:val="20"/>
          <w:szCs w:val="20"/>
        </w:rPr>
        <w:t>;</w:t>
      </w:r>
    </w:p>
    <w:p w14:paraId="6371C342" w14:textId="74F57207" w:rsidR="002B516A" w:rsidRPr="00392643" w:rsidRDefault="000678F8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b/>
          <w:bCs/>
          <w:sz w:val="20"/>
          <w:szCs w:val="20"/>
        </w:rPr>
        <w:t>Integralmente connessi</w:t>
      </w:r>
      <w:r w:rsidR="00DA1C4D" w:rsidRPr="00392643">
        <w:rPr>
          <w:rFonts w:ascii="Maax" w:hAnsi="Maax"/>
          <w:sz w:val="20"/>
          <w:szCs w:val="20"/>
        </w:rPr>
        <w:t>, operanti come un unico aggregato di risorse distribuite di energia, controllate e gestite centralmente, forni</w:t>
      </w:r>
      <w:r w:rsidR="00320533" w:rsidRPr="00392643">
        <w:rPr>
          <w:rFonts w:ascii="Maax" w:hAnsi="Maax"/>
          <w:sz w:val="20"/>
          <w:szCs w:val="20"/>
        </w:rPr>
        <w:t>ranno</w:t>
      </w:r>
      <w:r w:rsidR="00DA1C4D" w:rsidRPr="00392643">
        <w:rPr>
          <w:rFonts w:ascii="Maax" w:hAnsi="Maax"/>
          <w:sz w:val="20"/>
          <w:szCs w:val="20"/>
        </w:rPr>
        <w:t xml:space="preserve"> servizi di rete ai gestori </w:t>
      </w:r>
      <w:r w:rsidR="00320533" w:rsidRPr="00392643">
        <w:rPr>
          <w:rFonts w:ascii="Maax" w:hAnsi="Maax"/>
          <w:sz w:val="20"/>
          <w:szCs w:val="20"/>
        </w:rPr>
        <w:t>delle reti</w:t>
      </w:r>
      <w:r w:rsidR="00DA1C4D" w:rsidRPr="00392643">
        <w:rPr>
          <w:rFonts w:ascii="Maax" w:hAnsi="Maax"/>
          <w:sz w:val="20"/>
          <w:szCs w:val="20"/>
        </w:rPr>
        <w:t xml:space="preserve"> di trasmissione e distribuzione europei (“</w:t>
      </w:r>
      <w:r w:rsidR="00320533" w:rsidRPr="00392643">
        <w:rPr>
          <w:rFonts w:ascii="Maax" w:hAnsi="Maax"/>
          <w:b/>
          <w:bCs/>
          <w:sz w:val="20"/>
          <w:szCs w:val="20"/>
        </w:rPr>
        <w:t xml:space="preserve">Virtual </w:t>
      </w:r>
      <w:proofErr w:type="spellStart"/>
      <w:r w:rsidR="00320533" w:rsidRPr="00392643">
        <w:rPr>
          <w:rFonts w:ascii="Maax" w:hAnsi="Maax"/>
          <w:b/>
          <w:bCs/>
          <w:sz w:val="20"/>
          <w:szCs w:val="20"/>
        </w:rPr>
        <w:t>Power</w:t>
      </w:r>
      <w:proofErr w:type="spellEnd"/>
      <w:r w:rsidR="00320533" w:rsidRPr="00392643">
        <w:rPr>
          <w:rFonts w:ascii="Maax" w:hAnsi="Maax"/>
          <w:b/>
          <w:bCs/>
          <w:sz w:val="20"/>
          <w:szCs w:val="20"/>
        </w:rPr>
        <w:t xml:space="preserve"> </w:t>
      </w:r>
      <w:proofErr w:type="spellStart"/>
      <w:r w:rsidR="00320533" w:rsidRPr="00392643">
        <w:rPr>
          <w:rFonts w:ascii="Maax" w:hAnsi="Maax"/>
          <w:b/>
          <w:bCs/>
          <w:sz w:val="20"/>
          <w:szCs w:val="20"/>
        </w:rPr>
        <w:t>Plant</w:t>
      </w:r>
      <w:proofErr w:type="spellEnd"/>
      <w:r w:rsidR="00DA1C4D" w:rsidRPr="00392643">
        <w:rPr>
          <w:rFonts w:ascii="Maax" w:hAnsi="Maax"/>
          <w:sz w:val="20"/>
          <w:szCs w:val="20"/>
        </w:rPr>
        <w:t xml:space="preserve">”). Di conseguenza, </w:t>
      </w:r>
      <w:r w:rsidR="00320533" w:rsidRPr="00392643">
        <w:rPr>
          <w:rFonts w:ascii="Maax" w:hAnsi="Maax"/>
          <w:sz w:val="20"/>
          <w:szCs w:val="20"/>
        </w:rPr>
        <w:t>la rete di</w:t>
      </w:r>
      <w:r w:rsidR="00DA1C4D" w:rsidRPr="00392643">
        <w:rPr>
          <w:rFonts w:ascii="Maax" w:hAnsi="Maax"/>
          <w:sz w:val="20"/>
          <w:szCs w:val="20"/>
        </w:rPr>
        <w:t xml:space="preserve"> Atlante </w:t>
      </w:r>
      <w:r w:rsidR="007914B8" w:rsidRPr="00392643">
        <w:rPr>
          <w:rFonts w:ascii="Maax" w:hAnsi="Maax"/>
          <w:sz w:val="20"/>
          <w:szCs w:val="20"/>
        </w:rPr>
        <w:t>ambisce a</w:t>
      </w:r>
      <w:r w:rsidR="00DA1C4D" w:rsidRPr="00392643">
        <w:rPr>
          <w:rFonts w:ascii="Maax" w:hAnsi="Maax"/>
          <w:sz w:val="20"/>
          <w:szCs w:val="20"/>
        </w:rPr>
        <w:t xml:space="preserve"> diventare la </w:t>
      </w:r>
      <w:r w:rsidR="007914B8" w:rsidRPr="00392643">
        <w:rPr>
          <w:rFonts w:ascii="Maax" w:hAnsi="Maax"/>
          <w:sz w:val="20"/>
          <w:szCs w:val="20"/>
        </w:rPr>
        <w:t xml:space="preserve">più grande Virtual </w:t>
      </w:r>
      <w:proofErr w:type="spellStart"/>
      <w:r w:rsidR="007914B8" w:rsidRPr="00392643">
        <w:rPr>
          <w:rFonts w:ascii="Maax" w:hAnsi="Maax"/>
          <w:sz w:val="20"/>
          <w:szCs w:val="20"/>
        </w:rPr>
        <w:t>Power</w:t>
      </w:r>
      <w:proofErr w:type="spellEnd"/>
      <w:r w:rsidR="007914B8" w:rsidRPr="00392643">
        <w:rPr>
          <w:rFonts w:ascii="Maax" w:hAnsi="Maax"/>
          <w:sz w:val="20"/>
          <w:szCs w:val="20"/>
        </w:rPr>
        <w:t xml:space="preserve"> </w:t>
      </w:r>
      <w:proofErr w:type="spellStart"/>
      <w:r w:rsidR="007914B8" w:rsidRPr="00392643">
        <w:rPr>
          <w:rFonts w:ascii="Maax" w:hAnsi="Maax"/>
          <w:sz w:val="20"/>
          <w:szCs w:val="20"/>
        </w:rPr>
        <w:t>Plant</w:t>
      </w:r>
      <w:proofErr w:type="spellEnd"/>
      <w:r w:rsidR="007914B8" w:rsidRPr="00392643">
        <w:rPr>
          <w:rFonts w:ascii="Maax" w:hAnsi="Maax"/>
          <w:sz w:val="20"/>
          <w:szCs w:val="20"/>
        </w:rPr>
        <w:t xml:space="preserve"> mai realizzata</w:t>
      </w:r>
      <w:r w:rsidR="00DA1C4D" w:rsidRPr="00392643">
        <w:rPr>
          <w:rFonts w:ascii="Maax" w:hAnsi="Maax"/>
          <w:sz w:val="20"/>
          <w:szCs w:val="20"/>
        </w:rPr>
        <w:t>, alimentando servizi VGI avanzati e “</w:t>
      </w:r>
      <w:r w:rsidR="007914B8" w:rsidRPr="00392643">
        <w:rPr>
          <w:rFonts w:ascii="Maax" w:hAnsi="Maax"/>
          <w:sz w:val="20"/>
          <w:szCs w:val="20"/>
        </w:rPr>
        <w:t>dietro al contatore</w:t>
      </w:r>
      <w:r w:rsidR="00DA1C4D" w:rsidRPr="00392643">
        <w:rPr>
          <w:rFonts w:ascii="Maax" w:hAnsi="Maax"/>
          <w:sz w:val="20"/>
          <w:szCs w:val="20"/>
        </w:rPr>
        <w:t>”</w:t>
      </w:r>
      <w:r w:rsidR="00360F67" w:rsidRPr="00392643">
        <w:rPr>
          <w:rFonts w:ascii="Maax" w:hAnsi="Maax"/>
          <w:sz w:val="20"/>
          <w:szCs w:val="20"/>
        </w:rPr>
        <w:t xml:space="preserve"> </w:t>
      </w:r>
      <w:r w:rsidR="00DA1C4D" w:rsidRPr="00392643">
        <w:rPr>
          <w:rFonts w:ascii="Maax" w:hAnsi="Maax"/>
          <w:sz w:val="20"/>
          <w:szCs w:val="20"/>
        </w:rPr>
        <w:t>per migliorare i casi di business di ricarica veloce, tra cui: (i) servizi VGI di base “</w:t>
      </w:r>
      <w:r w:rsidR="00765FE0" w:rsidRPr="00392643">
        <w:rPr>
          <w:rFonts w:ascii="Maax" w:hAnsi="Maax"/>
          <w:sz w:val="20"/>
          <w:szCs w:val="20"/>
        </w:rPr>
        <w:t>dietro al contatore</w:t>
      </w:r>
      <w:r w:rsidR="00DA1C4D" w:rsidRPr="00392643">
        <w:rPr>
          <w:rFonts w:ascii="Maax" w:hAnsi="Maax"/>
          <w:sz w:val="20"/>
          <w:szCs w:val="20"/>
        </w:rPr>
        <w:t xml:space="preserve">” con ricarica </w:t>
      </w:r>
      <w:r w:rsidR="00765FE0" w:rsidRPr="00392643">
        <w:rPr>
          <w:rFonts w:ascii="Maax" w:hAnsi="Maax"/>
          <w:sz w:val="20"/>
          <w:szCs w:val="20"/>
        </w:rPr>
        <w:t>al di fuori delle ore di punta e bilanciamento</w:t>
      </w:r>
      <w:r w:rsidR="00DA1C4D" w:rsidRPr="00392643">
        <w:rPr>
          <w:rFonts w:ascii="Maax" w:hAnsi="Maax"/>
          <w:sz w:val="20"/>
          <w:szCs w:val="20"/>
        </w:rPr>
        <w:t xml:space="preserve"> </w:t>
      </w:r>
      <w:r w:rsidR="00105954" w:rsidRPr="00392643">
        <w:rPr>
          <w:rFonts w:ascii="Maax" w:hAnsi="Maax"/>
          <w:sz w:val="20"/>
          <w:szCs w:val="20"/>
        </w:rPr>
        <w:t>dei picchi</w:t>
      </w:r>
      <w:r w:rsidR="00DA1C4D" w:rsidRPr="00392643">
        <w:rPr>
          <w:rFonts w:ascii="Maax" w:hAnsi="Maax"/>
          <w:sz w:val="20"/>
          <w:szCs w:val="20"/>
        </w:rPr>
        <w:t xml:space="preserve"> di carico per ridurre i costi dell’elettricità; (ii) servizi VGI avanzati “</w:t>
      </w:r>
      <w:r w:rsidR="00D65E0E" w:rsidRPr="00392643">
        <w:rPr>
          <w:rFonts w:ascii="Maax" w:hAnsi="Maax" w:cs="Arial"/>
          <w:sz w:val="20"/>
          <w:szCs w:val="20"/>
        </w:rPr>
        <w:t xml:space="preserve">in-front of the </w:t>
      </w:r>
      <w:proofErr w:type="spellStart"/>
      <w:r w:rsidR="00D65E0E" w:rsidRPr="00392643">
        <w:rPr>
          <w:rFonts w:ascii="Maax" w:hAnsi="Maax" w:cs="Arial"/>
          <w:sz w:val="20"/>
          <w:szCs w:val="20"/>
        </w:rPr>
        <w:t>meter</w:t>
      </w:r>
      <w:proofErr w:type="spellEnd"/>
      <w:r w:rsidR="00DA1C4D" w:rsidRPr="00392643">
        <w:rPr>
          <w:rFonts w:ascii="Maax" w:hAnsi="Maax"/>
          <w:sz w:val="20"/>
          <w:szCs w:val="20"/>
        </w:rPr>
        <w:t>”</w:t>
      </w:r>
      <w:r w:rsidR="00360F67" w:rsidRPr="00392643">
        <w:rPr>
          <w:rFonts w:ascii="Maax" w:hAnsi="Maax"/>
          <w:sz w:val="20"/>
          <w:szCs w:val="20"/>
        </w:rPr>
        <w:t xml:space="preserve"> </w:t>
      </w:r>
      <w:r w:rsidR="00DA1C4D" w:rsidRPr="00392643">
        <w:rPr>
          <w:rFonts w:ascii="Maax" w:hAnsi="Maax"/>
          <w:sz w:val="20"/>
          <w:szCs w:val="20"/>
        </w:rPr>
        <w:t xml:space="preserve">con scambio di energia e bilanciamento della rete attraverso </w:t>
      </w:r>
      <w:r w:rsidR="003B6409" w:rsidRPr="00392643">
        <w:rPr>
          <w:rFonts w:ascii="Maax" w:hAnsi="Maax"/>
          <w:sz w:val="20"/>
          <w:szCs w:val="20"/>
        </w:rPr>
        <w:t xml:space="preserve">network di </w:t>
      </w:r>
      <w:proofErr w:type="spellStart"/>
      <w:r w:rsidR="003B6409" w:rsidRPr="00392643">
        <w:rPr>
          <w:rFonts w:ascii="Maax" w:hAnsi="Maax"/>
          <w:sz w:val="20"/>
          <w:szCs w:val="20"/>
        </w:rPr>
        <w:t>microreti</w:t>
      </w:r>
      <w:proofErr w:type="spellEnd"/>
      <w:r w:rsidR="003B6409" w:rsidRPr="00392643">
        <w:rPr>
          <w:rFonts w:ascii="Maax" w:hAnsi="Maax"/>
          <w:sz w:val="20"/>
          <w:szCs w:val="20"/>
        </w:rPr>
        <w:t xml:space="preserve"> </w:t>
      </w:r>
      <w:r w:rsidR="00DA1C4D" w:rsidRPr="00392643">
        <w:rPr>
          <w:rFonts w:ascii="Maax" w:hAnsi="Maax"/>
          <w:sz w:val="20"/>
          <w:szCs w:val="20"/>
        </w:rPr>
        <w:t>su</w:t>
      </w:r>
      <w:r w:rsidR="00E22488" w:rsidRPr="00392643">
        <w:rPr>
          <w:rFonts w:ascii="Maax" w:hAnsi="Maax"/>
          <w:sz w:val="20"/>
          <w:szCs w:val="20"/>
        </w:rPr>
        <w:t xml:space="preserve"> grande</w:t>
      </w:r>
      <w:r w:rsidR="00DA1C4D" w:rsidRPr="00392643">
        <w:rPr>
          <w:rFonts w:ascii="Maax" w:hAnsi="Maax"/>
          <w:sz w:val="20"/>
          <w:szCs w:val="20"/>
        </w:rPr>
        <w:t xml:space="preserve"> scala; (iii) autoconsumo di energia solare fotovoltaica, a supporto dell’approvvigionamento di </w:t>
      </w:r>
      <w:r w:rsidR="00E22488" w:rsidRPr="00392643">
        <w:rPr>
          <w:rFonts w:ascii="Maax" w:hAnsi="Maax"/>
          <w:sz w:val="20"/>
          <w:szCs w:val="20"/>
        </w:rPr>
        <w:t xml:space="preserve">energia </w:t>
      </w:r>
      <w:r w:rsidR="00DA1C4D" w:rsidRPr="00392643">
        <w:rPr>
          <w:rFonts w:ascii="Maax" w:hAnsi="Maax"/>
          <w:sz w:val="20"/>
          <w:szCs w:val="20"/>
        </w:rPr>
        <w:t>a basso costo.</w:t>
      </w:r>
    </w:p>
    <w:p w14:paraId="1E5C9E8F" w14:textId="44AC0862" w:rsidR="002B516A" w:rsidRPr="00392643" w:rsidRDefault="002B758A" w:rsidP="002B516A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>L’obiettivo principal</w:t>
      </w:r>
      <w:r w:rsidR="0027247B" w:rsidRPr="00392643">
        <w:rPr>
          <w:rFonts w:ascii="Maax" w:hAnsi="Maax"/>
          <w:sz w:val="20"/>
          <w:szCs w:val="20"/>
        </w:rPr>
        <w:t>e</w:t>
      </w:r>
      <w:r w:rsidRPr="00392643">
        <w:rPr>
          <w:rFonts w:ascii="Maax" w:hAnsi="Maax"/>
          <w:sz w:val="20"/>
          <w:szCs w:val="20"/>
        </w:rPr>
        <w:t xml:space="preserve"> </w:t>
      </w:r>
      <w:r w:rsidR="002B516A" w:rsidRPr="00392643">
        <w:rPr>
          <w:rFonts w:ascii="Maax" w:hAnsi="Maax"/>
          <w:sz w:val="20"/>
          <w:szCs w:val="20"/>
        </w:rPr>
        <w:t xml:space="preserve">del Progetto Atlante </w:t>
      </w:r>
      <w:r w:rsidRPr="00392643">
        <w:rPr>
          <w:rFonts w:ascii="Maax" w:hAnsi="Maax"/>
          <w:sz w:val="20"/>
          <w:szCs w:val="20"/>
        </w:rPr>
        <w:t xml:space="preserve">sarà </w:t>
      </w:r>
      <w:r w:rsidR="002B516A" w:rsidRPr="00392643">
        <w:rPr>
          <w:rFonts w:ascii="Maax" w:hAnsi="Maax"/>
          <w:sz w:val="20"/>
          <w:szCs w:val="20"/>
        </w:rPr>
        <w:t xml:space="preserve">raggiungere livelli </w:t>
      </w:r>
      <w:r w:rsidR="001E6CDE" w:rsidRPr="00392643">
        <w:rPr>
          <w:rFonts w:ascii="Maax" w:hAnsi="Maax"/>
          <w:sz w:val="20"/>
          <w:szCs w:val="20"/>
        </w:rPr>
        <w:t>di leadership nel</w:t>
      </w:r>
      <w:r w:rsidR="002B516A" w:rsidRPr="00392643">
        <w:rPr>
          <w:rFonts w:ascii="Maax" w:hAnsi="Maax"/>
          <w:sz w:val="20"/>
          <w:szCs w:val="20"/>
        </w:rPr>
        <w:t xml:space="preserve"> mercato con: </w:t>
      </w:r>
    </w:p>
    <w:p w14:paraId="623B96C9" w14:textId="60741BC9" w:rsidR="002B516A" w:rsidRPr="00392643" w:rsidRDefault="00F2411C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il </w:t>
      </w:r>
      <w:r w:rsidR="00FC31A9" w:rsidRPr="00392643">
        <w:rPr>
          <w:rFonts w:ascii="Maax" w:hAnsi="Maax"/>
          <w:sz w:val="20"/>
          <w:szCs w:val="20"/>
        </w:rPr>
        <w:t>raggiungimento</w:t>
      </w:r>
      <w:r w:rsidR="00FF3F6F" w:rsidRPr="00392643">
        <w:rPr>
          <w:rFonts w:ascii="Maax" w:hAnsi="Maax"/>
          <w:sz w:val="20"/>
          <w:szCs w:val="20"/>
        </w:rPr>
        <w:t xml:space="preserve"> </w:t>
      </w:r>
      <w:r w:rsidRPr="00392643">
        <w:rPr>
          <w:rFonts w:ascii="Maax" w:hAnsi="Maax"/>
          <w:sz w:val="20"/>
          <w:szCs w:val="20"/>
        </w:rPr>
        <w:t xml:space="preserve">di una quota di mercato di circa il 15% nella ricarica </w:t>
      </w:r>
      <w:r w:rsidR="001E6CDE" w:rsidRPr="00392643">
        <w:rPr>
          <w:rFonts w:ascii="Maax" w:hAnsi="Maax"/>
          <w:sz w:val="20"/>
          <w:szCs w:val="20"/>
        </w:rPr>
        <w:t xml:space="preserve">rapida </w:t>
      </w:r>
      <w:r w:rsidRPr="00392643">
        <w:rPr>
          <w:rFonts w:ascii="Maax" w:hAnsi="Maax"/>
          <w:sz w:val="20"/>
          <w:szCs w:val="20"/>
        </w:rPr>
        <w:t xml:space="preserve">pubblica “on-the-go”, in termini di dimensioni e clienti, in tutti i Paesi </w:t>
      </w:r>
      <w:r w:rsidR="001E6CDE" w:rsidRPr="00392643">
        <w:rPr>
          <w:rFonts w:ascii="Maax" w:hAnsi="Maax"/>
          <w:sz w:val="20"/>
          <w:szCs w:val="20"/>
        </w:rPr>
        <w:t>Strategici</w:t>
      </w:r>
      <w:r w:rsidRPr="00392643">
        <w:rPr>
          <w:rFonts w:ascii="Maax" w:hAnsi="Maax"/>
          <w:sz w:val="20"/>
          <w:szCs w:val="20"/>
        </w:rPr>
        <w:t>, al fine di assicurarsi un posizionamento sostenibile a lungo termine. In</w:t>
      </w:r>
      <w:r w:rsidR="00372136" w:rsidRPr="00392643">
        <w:rPr>
          <w:rFonts w:ascii="Maax" w:hAnsi="Maax"/>
          <w:sz w:val="20"/>
          <w:szCs w:val="20"/>
        </w:rPr>
        <w:t>vero</w:t>
      </w:r>
      <w:r w:rsidRPr="00392643">
        <w:rPr>
          <w:rFonts w:ascii="Maax" w:hAnsi="Maax"/>
          <w:sz w:val="20"/>
          <w:szCs w:val="20"/>
        </w:rPr>
        <w:t xml:space="preserve">, la rilevanza e la portata del mercato </w:t>
      </w:r>
      <w:r w:rsidR="00372136" w:rsidRPr="00392643">
        <w:rPr>
          <w:rFonts w:ascii="Maax" w:hAnsi="Maax"/>
          <w:sz w:val="20"/>
          <w:szCs w:val="20"/>
        </w:rPr>
        <w:t xml:space="preserve">attrarranno </w:t>
      </w:r>
      <w:r w:rsidRPr="00392643">
        <w:rPr>
          <w:rFonts w:ascii="Maax" w:hAnsi="Maax"/>
          <w:sz w:val="20"/>
          <w:szCs w:val="20"/>
        </w:rPr>
        <w:t>clienti e rafforz</w:t>
      </w:r>
      <w:r w:rsidR="00372136" w:rsidRPr="00392643">
        <w:rPr>
          <w:rFonts w:ascii="Maax" w:hAnsi="Maax"/>
          <w:sz w:val="20"/>
          <w:szCs w:val="20"/>
        </w:rPr>
        <w:t>er</w:t>
      </w:r>
      <w:r w:rsidRPr="00392643">
        <w:rPr>
          <w:rFonts w:ascii="Maax" w:hAnsi="Maax"/>
          <w:sz w:val="20"/>
          <w:szCs w:val="20"/>
        </w:rPr>
        <w:t>a</w:t>
      </w:r>
      <w:r w:rsidR="00372136" w:rsidRPr="00392643">
        <w:rPr>
          <w:rFonts w:ascii="Maax" w:hAnsi="Maax"/>
          <w:sz w:val="20"/>
          <w:szCs w:val="20"/>
        </w:rPr>
        <w:t>n</w:t>
      </w:r>
      <w:r w:rsidRPr="00392643">
        <w:rPr>
          <w:rFonts w:ascii="Maax" w:hAnsi="Maax"/>
          <w:sz w:val="20"/>
          <w:szCs w:val="20"/>
        </w:rPr>
        <w:t xml:space="preserve">no l’utilizzo della rete, mentre </w:t>
      </w:r>
      <w:r w:rsidR="00372136" w:rsidRPr="00392643">
        <w:rPr>
          <w:rFonts w:ascii="Maax" w:hAnsi="Maax"/>
          <w:sz w:val="20"/>
          <w:szCs w:val="20"/>
        </w:rPr>
        <w:t>la rete capillare</w:t>
      </w:r>
      <w:r w:rsidRPr="00392643">
        <w:rPr>
          <w:rFonts w:ascii="Maax" w:hAnsi="Maax"/>
          <w:sz w:val="20"/>
          <w:szCs w:val="20"/>
        </w:rPr>
        <w:t xml:space="preserve"> con un</w:t>
      </w:r>
      <w:r w:rsidR="00CB6139" w:rsidRPr="00392643">
        <w:rPr>
          <w:rFonts w:ascii="Maax" w:hAnsi="Maax"/>
          <w:sz w:val="20"/>
          <w:szCs w:val="20"/>
        </w:rPr>
        <w:t>a</w:t>
      </w:r>
      <w:r w:rsidRPr="00392643">
        <w:rPr>
          <w:rFonts w:ascii="Maax" w:hAnsi="Maax"/>
          <w:sz w:val="20"/>
          <w:szCs w:val="20"/>
        </w:rPr>
        <w:t xml:space="preserve"> stabile</w:t>
      </w:r>
      <w:r w:rsidR="00CB6139" w:rsidRPr="00392643">
        <w:rPr>
          <w:rFonts w:ascii="Maax" w:hAnsi="Maax"/>
          <w:sz w:val="20"/>
          <w:szCs w:val="20"/>
        </w:rPr>
        <w:t xml:space="preserve"> pipeline di sviluppo</w:t>
      </w:r>
      <w:r w:rsidRPr="00392643">
        <w:rPr>
          <w:rFonts w:ascii="Maax" w:hAnsi="Maax"/>
          <w:sz w:val="20"/>
          <w:szCs w:val="20"/>
        </w:rPr>
        <w:t xml:space="preserve"> </w:t>
      </w:r>
      <w:r w:rsidR="00CB6139" w:rsidRPr="00392643">
        <w:rPr>
          <w:rFonts w:ascii="Maax" w:hAnsi="Maax"/>
          <w:sz w:val="20"/>
          <w:szCs w:val="20"/>
        </w:rPr>
        <w:t xml:space="preserve">ridurrà </w:t>
      </w:r>
      <w:r w:rsidRPr="00392643">
        <w:rPr>
          <w:rFonts w:ascii="Maax" w:hAnsi="Maax"/>
          <w:sz w:val="20"/>
          <w:szCs w:val="20"/>
        </w:rPr>
        <w:t xml:space="preserve">i costi operativi e di </w:t>
      </w:r>
      <w:r w:rsidR="00CB6139" w:rsidRPr="00392643">
        <w:rPr>
          <w:rFonts w:ascii="Maax" w:hAnsi="Maax"/>
          <w:sz w:val="20"/>
          <w:szCs w:val="20"/>
        </w:rPr>
        <w:t>sviluppo</w:t>
      </w:r>
      <w:r w:rsidRPr="00392643">
        <w:rPr>
          <w:rFonts w:ascii="Maax" w:hAnsi="Maax"/>
          <w:sz w:val="20"/>
          <w:szCs w:val="20"/>
        </w:rPr>
        <w:t xml:space="preserve">. </w:t>
      </w:r>
    </w:p>
    <w:p w14:paraId="231477C3" w14:textId="0B8A816B" w:rsidR="002B516A" w:rsidRPr="00392643" w:rsidRDefault="00F06DE1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un’esperienza di ricarica </w:t>
      </w:r>
      <w:r w:rsidR="00BD50B0" w:rsidRPr="00392643">
        <w:rPr>
          <w:rFonts w:ascii="Maax" w:hAnsi="Maax"/>
          <w:sz w:val="20"/>
          <w:szCs w:val="20"/>
        </w:rPr>
        <w:t xml:space="preserve">unica </w:t>
      </w:r>
      <w:r w:rsidRPr="00392643">
        <w:rPr>
          <w:rFonts w:ascii="Maax" w:hAnsi="Maax"/>
          <w:sz w:val="20"/>
          <w:szCs w:val="20"/>
        </w:rPr>
        <w:t xml:space="preserve">per i clienti </w:t>
      </w:r>
      <w:r w:rsidR="0006185D" w:rsidRPr="00392643">
        <w:rPr>
          <w:rFonts w:ascii="Maax" w:hAnsi="Maax"/>
          <w:sz w:val="20"/>
          <w:szCs w:val="20"/>
        </w:rPr>
        <w:t xml:space="preserve">grazie </w:t>
      </w:r>
      <w:r w:rsidR="00BD50B0" w:rsidRPr="00392643">
        <w:rPr>
          <w:rFonts w:ascii="Maax" w:hAnsi="Maax"/>
          <w:sz w:val="20"/>
          <w:szCs w:val="20"/>
        </w:rPr>
        <w:t xml:space="preserve">alla </w:t>
      </w:r>
      <w:r w:rsidRPr="00392643">
        <w:rPr>
          <w:rFonts w:ascii="Maax" w:hAnsi="Maax"/>
          <w:sz w:val="20"/>
          <w:szCs w:val="20"/>
        </w:rPr>
        <w:t>velocità di ricarica</w:t>
      </w:r>
      <w:r w:rsidR="005124BF" w:rsidRPr="00392643">
        <w:rPr>
          <w:rFonts w:ascii="Maax" w:hAnsi="Maax"/>
          <w:sz w:val="20"/>
          <w:szCs w:val="20"/>
        </w:rPr>
        <w:t xml:space="preserve"> e</w:t>
      </w:r>
      <w:r w:rsidRPr="00392643">
        <w:rPr>
          <w:rFonts w:ascii="Maax" w:hAnsi="Maax"/>
          <w:sz w:val="20"/>
          <w:szCs w:val="20"/>
        </w:rPr>
        <w:t xml:space="preserve"> </w:t>
      </w:r>
      <w:r w:rsidR="00BD50B0" w:rsidRPr="00392643">
        <w:rPr>
          <w:rFonts w:ascii="Maax" w:hAnsi="Maax"/>
          <w:sz w:val="20"/>
          <w:szCs w:val="20"/>
        </w:rPr>
        <w:t>a</w:t>
      </w:r>
      <w:r w:rsidR="00D45A58" w:rsidRPr="00392643">
        <w:rPr>
          <w:rFonts w:ascii="Maax" w:hAnsi="Maax"/>
          <w:sz w:val="20"/>
          <w:szCs w:val="20"/>
        </w:rPr>
        <w:t>i</w:t>
      </w:r>
      <w:r w:rsidR="00BD50B0" w:rsidRPr="00392643">
        <w:rPr>
          <w:rFonts w:ascii="Maax" w:hAnsi="Maax"/>
          <w:sz w:val="20"/>
          <w:szCs w:val="20"/>
        </w:rPr>
        <w:t xml:space="preserve"> costi competiti</w:t>
      </w:r>
      <w:r w:rsidR="00D45A58" w:rsidRPr="00392643">
        <w:rPr>
          <w:rFonts w:ascii="Maax" w:hAnsi="Maax"/>
          <w:sz w:val="20"/>
          <w:szCs w:val="20"/>
        </w:rPr>
        <w:t>vi</w:t>
      </w:r>
      <w:r w:rsidRPr="00392643">
        <w:rPr>
          <w:rFonts w:ascii="Maax" w:hAnsi="Maax"/>
          <w:sz w:val="20"/>
          <w:szCs w:val="20"/>
        </w:rPr>
        <w:t xml:space="preserve"> </w:t>
      </w:r>
      <w:r w:rsidR="0019170B" w:rsidRPr="00392643">
        <w:rPr>
          <w:rFonts w:ascii="Maax" w:hAnsi="Maax"/>
          <w:sz w:val="20"/>
          <w:szCs w:val="20"/>
        </w:rPr>
        <w:t>per merito dei</w:t>
      </w:r>
      <w:r w:rsidRPr="00392643">
        <w:rPr>
          <w:rFonts w:ascii="Maax" w:hAnsi="Maax"/>
          <w:sz w:val="20"/>
          <w:szCs w:val="20"/>
        </w:rPr>
        <w:t xml:space="preserve"> programmi di fidelizzazione; e</w:t>
      </w:r>
    </w:p>
    <w:p w14:paraId="6343260A" w14:textId="7EE853A4" w:rsidR="002B516A" w:rsidRPr="00392643" w:rsidRDefault="005124BF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un’infrastruttura capillare </w:t>
      </w:r>
      <w:r w:rsidR="002B516A" w:rsidRPr="00392643">
        <w:rPr>
          <w:rFonts w:ascii="Maax" w:hAnsi="Maax"/>
          <w:sz w:val="20"/>
          <w:szCs w:val="20"/>
        </w:rPr>
        <w:t xml:space="preserve">in tutti i Paesi </w:t>
      </w:r>
      <w:r w:rsidRPr="00392643">
        <w:rPr>
          <w:rFonts w:ascii="Maax" w:hAnsi="Maax"/>
          <w:sz w:val="20"/>
          <w:szCs w:val="20"/>
        </w:rPr>
        <w:t xml:space="preserve">Strategici </w:t>
      </w:r>
      <w:r w:rsidR="002B516A" w:rsidRPr="00392643">
        <w:rPr>
          <w:rFonts w:ascii="Maax" w:hAnsi="Maax"/>
          <w:sz w:val="20"/>
          <w:szCs w:val="20"/>
        </w:rPr>
        <w:t xml:space="preserve">con almeno una stazione ogni 100 km di autostrada e siti strategici non autostradali per </w:t>
      </w:r>
      <w:r w:rsidR="00750778" w:rsidRPr="00392643">
        <w:rPr>
          <w:rFonts w:ascii="Maax" w:hAnsi="Maax"/>
          <w:sz w:val="20"/>
          <w:szCs w:val="20"/>
        </w:rPr>
        <w:t>rispondere</w:t>
      </w:r>
      <w:r w:rsidR="002B516A" w:rsidRPr="00392643">
        <w:rPr>
          <w:rFonts w:ascii="Maax" w:hAnsi="Maax"/>
          <w:sz w:val="20"/>
          <w:szCs w:val="20"/>
        </w:rPr>
        <w:t xml:space="preserve"> alle esigenze “on-the-go” quotidiane dei clienti.</w:t>
      </w:r>
    </w:p>
    <w:p w14:paraId="2217424C" w14:textId="77777777" w:rsidR="002B516A" w:rsidRPr="00392643" w:rsidRDefault="002B516A" w:rsidP="002B516A">
      <w:pPr>
        <w:spacing w:before="240" w:after="120" w:line="288" w:lineRule="auto"/>
        <w:rPr>
          <w:rFonts w:ascii="Maax" w:hAnsi="Maax" w:cs="Arial"/>
          <w:color w:val="73B967"/>
          <w:sz w:val="20"/>
          <w:szCs w:val="20"/>
        </w:rPr>
      </w:pPr>
      <w:r w:rsidRPr="00392643">
        <w:rPr>
          <w:rFonts w:ascii="Maax" w:hAnsi="Maax"/>
          <w:b/>
          <w:bCs/>
          <w:color w:val="73B967"/>
          <w:sz w:val="21"/>
          <w:szCs w:val="21"/>
          <w:u w:val="single"/>
        </w:rPr>
        <w:t>ATLANTE: strategia di commercializzazione</w:t>
      </w:r>
    </w:p>
    <w:p w14:paraId="71573054" w14:textId="5E0731C9" w:rsidR="002B516A" w:rsidRPr="00392643" w:rsidRDefault="00AD2662" w:rsidP="002B516A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>Il Network</w:t>
      </w:r>
      <w:r w:rsidR="002B516A" w:rsidRPr="00392643">
        <w:rPr>
          <w:rFonts w:ascii="Maax" w:hAnsi="Maax"/>
          <w:sz w:val="20"/>
          <w:szCs w:val="20"/>
        </w:rPr>
        <w:t xml:space="preserve"> sarà sviluppat</w:t>
      </w:r>
      <w:r w:rsidR="0083537F" w:rsidRPr="00392643">
        <w:rPr>
          <w:rFonts w:ascii="Maax" w:hAnsi="Maax"/>
          <w:sz w:val="20"/>
          <w:szCs w:val="20"/>
        </w:rPr>
        <w:t>o</w:t>
      </w:r>
      <w:r w:rsidR="002B516A" w:rsidRPr="00392643">
        <w:rPr>
          <w:rFonts w:ascii="Maax" w:hAnsi="Maax"/>
          <w:sz w:val="20"/>
          <w:szCs w:val="20"/>
        </w:rPr>
        <w:t xml:space="preserve"> in luoghi strategici in tutti i </w:t>
      </w:r>
      <w:r w:rsidR="004C24E0" w:rsidRPr="00392643">
        <w:rPr>
          <w:rFonts w:ascii="Maax" w:hAnsi="Maax"/>
          <w:sz w:val="20"/>
          <w:szCs w:val="20"/>
        </w:rPr>
        <w:t>Paesi</w:t>
      </w:r>
      <w:r w:rsidR="006E16E3" w:rsidRPr="00392643">
        <w:rPr>
          <w:rFonts w:ascii="Maax" w:hAnsi="Maax"/>
          <w:sz w:val="20"/>
          <w:szCs w:val="20"/>
        </w:rPr>
        <w:t xml:space="preserve"> </w:t>
      </w:r>
      <w:r w:rsidR="003009F0" w:rsidRPr="00392643">
        <w:rPr>
          <w:rFonts w:ascii="Maax" w:hAnsi="Maax"/>
          <w:sz w:val="20"/>
          <w:szCs w:val="20"/>
        </w:rPr>
        <w:t>del Sud Europa</w:t>
      </w:r>
      <w:r w:rsidR="002B516A" w:rsidRPr="00392643">
        <w:rPr>
          <w:rFonts w:ascii="Maax" w:hAnsi="Maax"/>
          <w:sz w:val="20"/>
          <w:szCs w:val="20"/>
        </w:rPr>
        <w:t xml:space="preserve">, installando le stazioni di ricarica </w:t>
      </w:r>
      <w:r w:rsidR="00A37F0C" w:rsidRPr="00392643">
        <w:rPr>
          <w:rFonts w:ascii="Maax" w:hAnsi="Maax"/>
          <w:sz w:val="20"/>
          <w:szCs w:val="20"/>
        </w:rPr>
        <w:t>nel rispetto</w:t>
      </w:r>
      <w:r w:rsidR="006E16E3" w:rsidRPr="00392643">
        <w:rPr>
          <w:rFonts w:ascii="Maax" w:hAnsi="Maax"/>
          <w:sz w:val="20"/>
          <w:szCs w:val="20"/>
        </w:rPr>
        <w:t xml:space="preserve"> di</w:t>
      </w:r>
      <w:r w:rsidR="00A37F0C" w:rsidRPr="00392643">
        <w:rPr>
          <w:rFonts w:ascii="Maax" w:hAnsi="Maax"/>
          <w:sz w:val="20"/>
          <w:szCs w:val="20"/>
        </w:rPr>
        <w:t xml:space="preserve"> </w:t>
      </w:r>
      <w:r w:rsidR="002B516A" w:rsidRPr="00392643">
        <w:rPr>
          <w:rFonts w:ascii="Maax" w:hAnsi="Maax"/>
          <w:sz w:val="20"/>
          <w:szCs w:val="20"/>
        </w:rPr>
        <w:t xml:space="preserve">tre criteri </w:t>
      </w:r>
      <w:r w:rsidR="00D43394" w:rsidRPr="00392643">
        <w:rPr>
          <w:rFonts w:ascii="Maax" w:hAnsi="Maax"/>
          <w:sz w:val="20"/>
          <w:szCs w:val="20"/>
        </w:rPr>
        <w:t>chiave</w:t>
      </w:r>
      <w:r w:rsidR="002B516A" w:rsidRPr="00392643">
        <w:rPr>
          <w:rFonts w:ascii="Maax" w:hAnsi="Maax"/>
          <w:sz w:val="20"/>
          <w:szCs w:val="20"/>
        </w:rPr>
        <w:t>:</w:t>
      </w:r>
    </w:p>
    <w:p w14:paraId="38E5F4BC" w14:textId="7922D970" w:rsidR="002B516A" w:rsidRPr="00392643" w:rsidRDefault="00A659C2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b/>
          <w:bCs/>
          <w:sz w:val="20"/>
          <w:szCs w:val="20"/>
        </w:rPr>
        <w:t xml:space="preserve">Ricarica in </w:t>
      </w:r>
      <w:r w:rsidR="00450F50" w:rsidRPr="00392643">
        <w:rPr>
          <w:rFonts w:ascii="Maax" w:hAnsi="Maax"/>
          <w:b/>
          <w:bCs/>
          <w:sz w:val="20"/>
          <w:szCs w:val="20"/>
        </w:rPr>
        <w:t>a</w:t>
      </w:r>
      <w:r w:rsidRPr="00392643">
        <w:rPr>
          <w:rFonts w:ascii="Maax" w:hAnsi="Maax"/>
          <w:b/>
          <w:bCs/>
          <w:sz w:val="20"/>
          <w:szCs w:val="20"/>
        </w:rPr>
        <w:t>utostrada</w:t>
      </w:r>
      <w:r w:rsidRPr="00392643">
        <w:rPr>
          <w:rFonts w:ascii="Maax" w:hAnsi="Maax"/>
          <w:sz w:val="20"/>
          <w:szCs w:val="20"/>
        </w:rPr>
        <w:t xml:space="preserve">: direttamente prossima o vicino all'entrata/uscita dell'autostrada ogni 100-150 km, con velocità di ricarica </w:t>
      </w:r>
      <w:proofErr w:type="gramStart"/>
      <w:r w:rsidRPr="00392643">
        <w:rPr>
          <w:rFonts w:ascii="Maax" w:hAnsi="Maax"/>
          <w:sz w:val="20"/>
          <w:szCs w:val="20"/>
        </w:rPr>
        <w:t>ultra-</w:t>
      </w:r>
      <w:r w:rsidR="0032555E" w:rsidRPr="00392643">
        <w:rPr>
          <w:rFonts w:ascii="Maax" w:hAnsi="Maax"/>
          <w:sz w:val="20"/>
          <w:szCs w:val="20"/>
        </w:rPr>
        <w:t>rapida</w:t>
      </w:r>
      <w:proofErr w:type="gramEnd"/>
      <w:r w:rsidRPr="00392643">
        <w:rPr>
          <w:rFonts w:ascii="Maax" w:hAnsi="Maax"/>
          <w:sz w:val="20"/>
          <w:szCs w:val="20"/>
        </w:rPr>
        <w:t xml:space="preserve">, </w:t>
      </w:r>
      <w:r w:rsidR="008F2817" w:rsidRPr="00392643">
        <w:rPr>
          <w:rFonts w:ascii="Maax" w:hAnsi="Maax"/>
          <w:sz w:val="20"/>
          <w:szCs w:val="20"/>
        </w:rPr>
        <w:t>essenziale</w:t>
      </w:r>
      <w:r w:rsidRPr="00392643">
        <w:rPr>
          <w:rFonts w:ascii="Maax" w:hAnsi="Maax"/>
          <w:sz w:val="20"/>
          <w:szCs w:val="20"/>
        </w:rPr>
        <w:t xml:space="preserve"> per la ricarica </w:t>
      </w:r>
      <w:r w:rsidR="008F2817" w:rsidRPr="00392643">
        <w:rPr>
          <w:rFonts w:ascii="Maax" w:hAnsi="Maax"/>
          <w:sz w:val="20"/>
          <w:szCs w:val="20"/>
        </w:rPr>
        <w:t xml:space="preserve">durante </w:t>
      </w:r>
      <w:r w:rsidR="00B80C04" w:rsidRPr="00392643">
        <w:rPr>
          <w:rFonts w:ascii="Maax" w:hAnsi="Maax"/>
          <w:sz w:val="20"/>
          <w:szCs w:val="20"/>
        </w:rPr>
        <w:t>gli spostamenti a lungo raggio</w:t>
      </w:r>
      <w:r w:rsidRPr="00392643">
        <w:rPr>
          <w:rFonts w:ascii="Maax" w:hAnsi="Maax"/>
          <w:sz w:val="20"/>
          <w:szCs w:val="20"/>
        </w:rPr>
        <w:t>;</w:t>
      </w:r>
    </w:p>
    <w:p w14:paraId="68EAB1A0" w14:textId="49F02C1E" w:rsidR="002B516A" w:rsidRPr="00392643" w:rsidRDefault="00A659C2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b/>
          <w:bCs/>
          <w:sz w:val="20"/>
          <w:szCs w:val="20"/>
        </w:rPr>
        <w:lastRenderedPageBreak/>
        <w:t xml:space="preserve">Ricarica fuori </w:t>
      </w:r>
      <w:r w:rsidR="0013058C" w:rsidRPr="00392643">
        <w:rPr>
          <w:rFonts w:ascii="Maax" w:hAnsi="Maax"/>
          <w:b/>
          <w:bCs/>
          <w:sz w:val="20"/>
          <w:szCs w:val="20"/>
        </w:rPr>
        <w:t>dall’</w:t>
      </w:r>
      <w:r w:rsidR="00450F50" w:rsidRPr="00392643">
        <w:rPr>
          <w:rFonts w:ascii="Maax" w:hAnsi="Maax"/>
          <w:b/>
          <w:bCs/>
          <w:sz w:val="20"/>
          <w:szCs w:val="20"/>
        </w:rPr>
        <w:t>a</w:t>
      </w:r>
      <w:r w:rsidRPr="00392643">
        <w:rPr>
          <w:rFonts w:ascii="Maax" w:hAnsi="Maax"/>
          <w:b/>
          <w:bCs/>
          <w:sz w:val="20"/>
          <w:szCs w:val="20"/>
        </w:rPr>
        <w:t>utostrada:</w:t>
      </w:r>
      <w:r w:rsidRPr="00392643">
        <w:rPr>
          <w:rFonts w:ascii="Maax" w:hAnsi="Maax"/>
          <w:sz w:val="20"/>
          <w:szCs w:val="20"/>
        </w:rPr>
        <w:t xml:space="preserve"> nelle aree urbane, nei punti nevralgici del traffico o presso </w:t>
      </w:r>
      <w:r w:rsidR="00682C4A" w:rsidRPr="00392643">
        <w:rPr>
          <w:rFonts w:ascii="Maax" w:hAnsi="Maax"/>
          <w:sz w:val="20"/>
          <w:szCs w:val="20"/>
        </w:rPr>
        <w:t>esercizi commerciali</w:t>
      </w:r>
      <w:r w:rsidRPr="00392643">
        <w:rPr>
          <w:rFonts w:ascii="Maax" w:hAnsi="Maax"/>
          <w:sz w:val="20"/>
          <w:szCs w:val="20"/>
        </w:rPr>
        <w:t>, specific</w:t>
      </w:r>
      <w:r w:rsidR="00B80C04" w:rsidRPr="00392643">
        <w:rPr>
          <w:rFonts w:ascii="Maax" w:hAnsi="Maax"/>
          <w:sz w:val="20"/>
          <w:szCs w:val="20"/>
        </w:rPr>
        <w:t>a</w:t>
      </w:r>
      <w:r w:rsidRPr="00392643">
        <w:rPr>
          <w:rFonts w:ascii="Maax" w:hAnsi="Maax"/>
          <w:sz w:val="20"/>
          <w:szCs w:val="20"/>
        </w:rPr>
        <w:t xml:space="preserve"> per la ricarica per tragitti più brevi, con velocità di ricarica da </w:t>
      </w:r>
      <w:r w:rsidR="00C66307" w:rsidRPr="00392643">
        <w:rPr>
          <w:rFonts w:ascii="Maax" w:hAnsi="Maax"/>
          <w:sz w:val="20"/>
          <w:szCs w:val="20"/>
        </w:rPr>
        <w:t xml:space="preserve">rapida </w:t>
      </w:r>
      <w:r w:rsidRPr="00392643">
        <w:rPr>
          <w:rFonts w:ascii="Maax" w:hAnsi="Maax"/>
          <w:sz w:val="20"/>
          <w:szCs w:val="20"/>
        </w:rPr>
        <w:t xml:space="preserve">a </w:t>
      </w:r>
      <w:proofErr w:type="gramStart"/>
      <w:r w:rsidRPr="00392643">
        <w:rPr>
          <w:rFonts w:ascii="Maax" w:hAnsi="Maax"/>
          <w:sz w:val="20"/>
          <w:szCs w:val="20"/>
        </w:rPr>
        <w:t>ultra-</w:t>
      </w:r>
      <w:r w:rsidR="00C66307" w:rsidRPr="00392643">
        <w:rPr>
          <w:rFonts w:ascii="Maax" w:hAnsi="Maax"/>
          <w:sz w:val="20"/>
          <w:szCs w:val="20"/>
        </w:rPr>
        <w:t>rapida</w:t>
      </w:r>
      <w:proofErr w:type="gramEnd"/>
      <w:r w:rsidRPr="00392643">
        <w:rPr>
          <w:rFonts w:ascii="Maax" w:hAnsi="Maax"/>
          <w:sz w:val="20"/>
          <w:szCs w:val="20"/>
        </w:rPr>
        <w:t xml:space="preserve"> a seconda delle esigenze </w:t>
      </w:r>
      <w:r w:rsidR="00682C4A" w:rsidRPr="00392643">
        <w:rPr>
          <w:rFonts w:ascii="Maax" w:hAnsi="Maax"/>
          <w:sz w:val="20"/>
          <w:szCs w:val="20"/>
        </w:rPr>
        <w:t>specifiche</w:t>
      </w:r>
      <w:r w:rsidRPr="00392643">
        <w:rPr>
          <w:rFonts w:ascii="Maax" w:hAnsi="Maax"/>
          <w:sz w:val="20"/>
          <w:szCs w:val="20"/>
        </w:rPr>
        <w:t>;</w:t>
      </w:r>
    </w:p>
    <w:p w14:paraId="0EAD4575" w14:textId="1DD952F1" w:rsidR="002B516A" w:rsidRPr="00392643" w:rsidRDefault="00A659C2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b/>
          <w:bCs/>
          <w:sz w:val="20"/>
          <w:szCs w:val="20"/>
        </w:rPr>
        <w:t>Ricarica ibrida:</w:t>
      </w:r>
      <w:r w:rsidRPr="00392643">
        <w:rPr>
          <w:rFonts w:ascii="Maax" w:hAnsi="Maax"/>
          <w:sz w:val="20"/>
          <w:szCs w:val="20"/>
        </w:rPr>
        <w:t xml:space="preserve"> in altri luoghi selezionati o siti di grande importanza in aree urbane densamente popolate</w:t>
      </w:r>
      <w:r w:rsidR="00085C25" w:rsidRPr="00392643">
        <w:rPr>
          <w:rFonts w:ascii="Maax" w:hAnsi="Maax"/>
          <w:sz w:val="20"/>
          <w:szCs w:val="20"/>
        </w:rPr>
        <w:t xml:space="preserve"> o in luoghi iconici al confine </w:t>
      </w:r>
      <w:r w:rsidRPr="00392643">
        <w:rPr>
          <w:rFonts w:ascii="Maax" w:hAnsi="Maax"/>
          <w:sz w:val="20"/>
          <w:szCs w:val="20"/>
        </w:rPr>
        <w:t>tra la “</w:t>
      </w:r>
      <w:r w:rsidRPr="00392643">
        <w:rPr>
          <w:rFonts w:ascii="Maax" w:hAnsi="Maax"/>
          <w:i/>
          <w:iCs/>
          <w:sz w:val="20"/>
          <w:szCs w:val="20"/>
        </w:rPr>
        <w:t>ricarica on-the-go</w:t>
      </w:r>
      <w:r w:rsidRPr="00392643">
        <w:rPr>
          <w:rFonts w:ascii="Maax" w:hAnsi="Maax"/>
          <w:sz w:val="20"/>
          <w:szCs w:val="20"/>
        </w:rPr>
        <w:t>” e la “</w:t>
      </w:r>
      <w:r w:rsidRPr="00392643">
        <w:rPr>
          <w:rFonts w:ascii="Maax" w:hAnsi="Maax"/>
          <w:i/>
          <w:iCs/>
          <w:sz w:val="20"/>
          <w:szCs w:val="20"/>
        </w:rPr>
        <w:t>ricarica di destinazione</w:t>
      </w:r>
      <w:r w:rsidRPr="00392643">
        <w:rPr>
          <w:rFonts w:ascii="Maax" w:hAnsi="Maax"/>
          <w:sz w:val="20"/>
          <w:szCs w:val="20"/>
        </w:rPr>
        <w:t>".</w:t>
      </w:r>
    </w:p>
    <w:p w14:paraId="5452E317" w14:textId="7EE65724" w:rsidR="00AE3342" w:rsidRPr="00392643" w:rsidRDefault="002B516A" w:rsidP="002B516A">
      <w:pPr>
        <w:spacing w:after="120" w:line="288" w:lineRule="auto"/>
        <w:jc w:val="both"/>
        <w:rPr>
          <w:rFonts w:ascii="Maax" w:hAnsi="Maax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>Il Progetto Atlante è strutturato in due fasi, e tutti gli investimenti</w:t>
      </w:r>
      <w:r w:rsidR="00AE3342" w:rsidRPr="00392643">
        <w:rPr>
          <w:rFonts w:ascii="Maax" w:hAnsi="Maax"/>
          <w:sz w:val="20"/>
          <w:szCs w:val="20"/>
        </w:rPr>
        <w:t xml:space="preserve"> sono attesi</w:t>
      </w:r>
      <w:r w:rsidRPr="00392643">
        <w:rPr>
          <w:rFonts w:ascii="Maax" w:hAnsi="Maax"/>
          <w:sz w:val="20"/>
          <w:szCs w:val="20"/>
        </w:rPr>
        <w:t xml:space="preserve"> oscillare nel periodo tra i 100 e i 140 mila euro per</w:t>
      </w:r>
      <w:r w:rsidR="00AE3342" w:rsidRPr="00392643">
        <w:rPr>
          <w:rFonts w:ascii="Maax" w:hAnsi="Maax"/>
          <w:sz w:val="20"/>
          <w:szCs w:val="20"/>
        </w:rPr>
        <w:t xml:space="preserve"> punto</w:t>
      </w:r>
      <w:r w:rsidRPr="00392643">
        <w:rPr>
          <w:rFonts w:ascii="Maax" w:hAnsi="Maax"/>
          <w:sz w:val="20"/>
          <w:szCs w:val="20"/>
        </w:rPr>
        <w:t xml:space="preserve"> di ricarica rapida integrato con </w:t>
      </w:r>
      <w:r w:rsidR="00AE3342" w:rsidRPr="00392643">
        <w:rPr>
          <w:rFonts w:ascii="Maax" w:hAnsi="Maax"/>
          <w:sz w:val="20"/>
          <w:szCs w:val="20"/>
        </w:rPr>
        <w:t>stoccaggio, fonti rinnovabili e la rete elettrica.</w:t>
      </w:r>
    </w:p>
    <w:p w14:paraId="284E566C" w14:textId="31E2A9E5" w:rsidR="002B516A" w:rsidRPr="00392643" w:rsidRDefault="00AE3342" w:rsidP="002B516A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Tali investimenti </w:t>
      </w:r>
      <w:r w:rsidR="002B516A" w:rsidRPr="00392643">
        <w:rPr>
          <w:rFonts w:ascii="Maax" w:hAnsi="Maax"/>
          <w:sz w:val="20"/>
          <w:szCs w:val="20"/>
        </w:rPr>
        <w:t xml:space="preserve">saranno effettuati attraverso </w:t>
      </w:r>
      <w:r w:rsidRPr="00392643">
        <w:rPr>
          <w:rFonts w:ascii="Maax" w:hAnsi="Maax"/>
          <w:sz w:val="20"/>
          <w:szCs w:val="20"/>
        </w:rPr>
        <w:t>il</w:t>
      </w:r>
      <w:r w:rsidR="002B516A" w:rsidRPr="00392643">
        <w:rPr>
          <w:rFonts w:ascii="Maax" w:hAnsi="Maax"/>
          <w:sz w:val="20"/>
          <w:szCs w:val="20"/>
        </w:rPr>
        <w:t xml:space="preserve"> veicolo dedicato denominato “</w:t>
      </w:r>
      <w:proofErr w:type="spellStart"/>
      <w:r w:rsidR="002B516A" w:rsidRPr="00392643">
        <w:rPr>
          <w:rFonts w:ascii="Maax" w:hAnsi="Maax"/>
          <w:b/>
          <w:bCs/>
          <w:sz w:val="20"/>
          <w:szCs w:val="20"/>
        </w:rPr>
        <w:t>AtlanteCo</w:t>
      </w:r>
      <w:proofErr w:type="spellEnd"/>
      <w:r w:rsidR="002B516A" w:rsidRPr="00392643">
        <w:rPr>
          <w:rFonts w:ascii="Maax" w:hAnsi="Maax"/>
          <w:sz w:val="20"/>
          <w:szCs w:val="20"/>
        </w:rPr>
        <w:t>”</w:t>
      </w:r>
      <w:r w:rsidR="006C210B" w:rsidRPr="00392643">
        <w:rPr>
          <w:rFonts w:ascii="Maax" w:hAnsi="Maax"/>
          <w:sz w:val="20"/>
          <w:szCs w:val="20"/>
        </w:rPr>
        <w:t xml:space="preserve">, che </w:t>
      </w:r>
      <w:r w:rsidR="002B516A" w:rsidRPr="00392643">
        <w:rPr>
          <w:rFonts w:ascii="Maax" w:hAnsi="Maax"/>
          <w:sz w:val="20"/>
          <w:szCs w:val="20"/>
        </w:rPr>
        <w:t>sarà inizialmente possedut</w:t>
      </w:r>
      <w:r w:rsidR="006C210B" w:rsidRPr="00392643">
        <w:rPr>
          <w:rFonts w:ascii="Maax" w:hAnsi="Maax"/>
          <w:sz w:val="20"/>
          <w:szCs w:val="20"/>
        </w:rPr>
        <w:t>o</w:t>
      </w:r>
      <w:r w:rsidR="002B516A" w:rsidRPr="00392643">
        <w:rPr>
          <w:rFonts w:ascii="Maax" w:hAnsi="Maax"/>
          <w:sz w:val="20"/>
          <w:szCs w:val="20"/>
        </w:rPr>
        <w:t xml:space="preserve"> al 100% da NHOA e finanziat</w:t>
      </w:r>
      <w:r w:rsidR="006C210B" w:rsidRPr="00392643">
        <w:rPr>
          <w:rFonts w:ascii="Maax" w:hAnsi="Maax"/>
          <w:sz w:val="20"/>
          <w:szCs w:val="20"/>
        </w:rPr>
        <w:t>o</w:t>
      </w:r>
      <w:r w:rsidR="002B516A" w:rsidRPr="00392643">
        <w:rPr>
          <w:rFonts w:ascii="Maax" w:hAnsi="Maax"/>
          <w:sz w:val="20"/>
          <w:szCs w:val="20"/>
        </w:rPr>
        <w:t xml:space="preserve"> con risorse proprie e altre forme di finanziamento, tra cui</w:t>
      </w:r>
      <w:r w:rsidR="00845C02" w:rsidRPr="00392643">
        <w:rPr>
          <w:rFonts w:ascii="Maax" w:hAnsi="Maax"/>
          <w:sz w:val="20"/>
          <w:szCs w:val="20"/>
        </w:rPr>
        <w:t>,</w:t>
      </w:r>
      <w:r w:rsidR="002B516A" w:rsidRPr="00392643">
        <w:rPr>
          <w:rFonts w:ascii="Maax" w:hAnsi="Maax"/>
          <w:sz w:val="20"/>
          <w:szCs w:val="20"/>
        </w:rPr>
        <w:t xml:space="preserve"> </w:t>
      </w:r>
      <w:r w:rsidR="00845C02" w:rsidRPr="00392643">
        <w:rPr>
          <w:rFonts w:ascii="Maax" w:hAnsi="Maax"/>
          <w:sz w:val="20"/>
          <w:szCs w:val="20"/>
        </w:rPr>
        <w:t xml:space="preserve">tra le altre, anche </w:t>
      </w:r>
      <w:r w:rsidR="002B516A" w:rsidRPr="00392643">
        <w:rPr>
          <w:rFonts w:ascii="Maax" w:hAnsi="Maax"/>
          <w:sz w:val="20"/>
          <w:szCs w:val="20"/>
        </w:rPr>
        <w:t xml:space="preserve">il supporto di TCC come investitore </w:t>
      </w:r>
      <w:r w:rsidR="006C210B" w:rsidRPr="00392643">
        <w:rPr>
          <w:rFonts w:ascii="Maax" w:hAnsi="Maax"/>
          <w:sz w:val="20"/>
          <w:szCs w:val="20"/>
        </w:rPr>
        <w:t>principale</w:t>
      </w:r>
      <w:r w:rsidR="002B516A" w:rsidRPr="00392643">
        <w:rPr>
          <w:rFonts w:ascii="Maax" w:hAnsi="Maax"/>
          <w:sz w:val="20"/>
          <w:szCs w:val="20"/>
        </w:rPr>
        <w:t xml:space="preserve">. </w:t>
      </w:r>
    </w:p>
    <w:p w14:paraId="60563A8F" w14:textId="77777777" w:rsidR="002B516A" w:rsidRPr="00392643" w:rsidRDefault="002B516A" w:rsidP="002B516A">
      <w:pPr>
        <w:spacing w:before="240" w:after="120" w:line="288" w:lineRule="auto"/>
        <w:rPr>
          <w:rFonts w:ascii="Maax" w:hAnsi="Maax" w:cs="Arial"/>
          <w:b/>
          <w:bCs/>
          <w:color w:val="73B967"/>
          <w:sz w:val="21"/>
          <w:szCs w:val="21"/>
          <w:u w:val="single"/>
        </w:rPr>
      </w:pPr>
      <w:r w:rsidRPr="00392643">
        <w:rPr>
          <w:rFonts w:ascii="Maax" w:hAnsi="Maax"/>
          <w:b/>
          <w:bCs/>
          <w:color w:val="73B967"/>
          <w:sz w:val="21"/>
          <w:szCs w:val="21"/>
          <w:u w:val="single"/>
        </w:rPr>
        <w:t>FASE 1 – 2022 a 2025</w:t>
      </w:r>
    </w:p>
    <w:p w14:paraId="67116B2B" w14:textId="062630B9" w:rsidR="002B516A" w:rsidRPr="00392643" w:rsidRDefault="002B516A" w:rsidP="002B516A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>La Fase 1 del</w:t>
      </w:r>
      <w:r w:rsidR="00AD2662" w:rsidRPr="00392643">
        <w:rPr>
          <w:rFonts w:ascii="Maax" w:hAnsi="Maax"/>
          <w:sz w:val="20"/>
          <w:szCs w:val="20"/>
        </w:rPr>
        <w:t xml:space="preserve"> </w:t>
      </w:r>
      <w:r w:rsidR="00F16342" w:rsidRPr="00392643">
        <w:rPr>
          <w:rFonts w:ascii="Maax" w:hAnsi="Maax"/>
          <w:sz w:val="20"/>
          <w:szCs w:val="20"/>
        </w:rPr>
        <w:t>Progetto</w:t>
      </w:r>
      <w:r w:rsidRPr="00392643">
        <w:rPr>
          <w:rFonts w:ascii="Maax" w:hAnsi="Maax"/>
          <w:sz w:val="20"/>
          <w:szCs w:val="20"/>
        </w:rPr>
        <w:t xml:space="preserve"> Atlante </w:t>
      </w:r>
      <w:r w:rsidR="00F16342" w:rsidRPr="00392643">
        <w:rPr>
          <w:rFonts w:ascii="Maax" w:hAnsi="Maax"/>
          <w:sz w:val="20"/>
          <w:szCs w:val="20"/>
        </w:rPr>
        <w:t>inizierà lo</w:t>
      </w:r>
      <w:r w:rsidR="004F332E" w:rsidRPr="00392643">
        <w:rPr>
          <w:rFonts w:ascii="Maax" w:hAnsi="Maax"/>
          <w:sz w:val="20"/>
          <w:szCs w:val="20"/>
        </w:rPr>
        <w:t xml:space="preserve"> sviluppo</w:t>
      </w:r>
      <w:r w:rsidR="00C5190F" w:rsidRPr="00392643">
        <w:rPr>
          <w:rFonts w:ascii="Maax" w:hAnsi="Maax"/>
          <w:sz w:val="20"/>
          <w:szCs w:val="20"/>
        </w:rPr>
        <w:t xml:space="preserve"> </w:t>
      </w:r>
      <w:r w:rsidR="00F16342" w:rsidRPr="00392643">
        <w:rPr>
          <w:rFonts w:ascii="Maax" w:hAnsi="Maax"/>
          <w:sz w:val="20"/>
          <w:szCs w:val="20"/>
        </w:rPr>
        <w:t xml:space="preserve">in </w:t>
      </w:r>
      <w:r w:rsidRPr="00392643">
        <w:rPr>
          <w:rFonts w:ascii="Maax" w:hAnsi="Maax"/>
          <w:sz w:val="20"/>
          <w:szCs w:val="20"/>
        </w:rPr>
        <w:t xml:space="preserve">Italia e </w:t>
      </w:r>
      <w:r w:rsidR="00F16342" w:rsidRPr="00392643">
        <w:rPr>
          <w:rFonts w:ascii="Maax" w:hAnsi="Maax"/>
          <w:sz w:val="20"/>
          <w:szCs w:val="20"/>
        </w:rPr>
        <w:t>in</w:t>
      </w:r>
      <w:r w:rsidRPr="00392643">
        <w:rPr>
          <w:rFonts w:ascii="Maax" w:hAnsi="Maax"/>
          <w:sz w:val="20"/>
          <w:szCs w:val="20"/>
        </w:rPr>
        <w:t xml:space="preserve"> Francia nel 2022, estendendosi </w:t>
      </w:r>
      <w:r w:rsidR="004E0CFF" w:rsidRPr="00392643">
        <w:rPr>
          <w:rFonts w:ascii="Maax" w:hAnsi="Maax"/>
          <w:sz w:val="20"/>
          <w:szCs w:val="20"/>
        </w:rPr>
        <w:t xml:space="preserve">poi </w:t>
      </w:r>
      <w:r w:rsidRPr="00392643">
        <w:rPr>
          <w:rFonts w:ascii="Maax" w:hAnsi="Maax"/>
          <w:sz w:val="20"/>
          <w:szCs w:val="20"/>
        </w:rPr>
        <w:t xml:space="preserve">a Spagna e Portogallo </w:t>
      </w:r>
      <w:r w:rsidR="00AC197B" w:rsidRPr="00392643">
        <w:rPr>
          <w:rFonts w:ascii="Maax" w:hAnsi="Maax"/>
          <w:sz w:val="20"/>
          <w:szCs w:val="20"/>
        </w:rPr>
        <w:t xml:space="preserve">a partire </w:t>
      </w:r>
      <w:r w:rsidRPr="00392643">
        <w:rPr>
          <w:rFonts w:ascii="Maax" w:hAnsi="Maax"/>
          <w:sz w:val="20"/>
          <w:szCs w:val="20"/>
        </w:rPr>
        <w:t xml:space="preserve">dal 2023, </w:t>
      </w:r>
      <w:r w:rsidR="009C2FA6" w:rsidRPr="00392643">
        <w:rPr>
          <w:rFonts w:ascii="Maax" w:hAnsi="Maax"/>
          <w:sz w:val="20"/>
          <w:szCs w:val="20"/>
        </w:rPr>
        <w:t xml:space="preserve">con </w:t>
      </w:r>
      <w:r w:rsidR="00AC197B" w:rsidRPr="00392643">
        <w:rPr>
          <w:rFonts w:ascii="Maax" w:hAnsi="Maax"/>
          <w:sz w:val="20"/>
          <w:szCs w:val="20"/>
        </w:rPr>
        <w:t>i seguenti</w:t>
      </w:r>
      <w:r w:rsidR="00843F0D" w:rsidRPr="00392643">
        <w:rPr>
          <w:rFonts w:ascii="Maax" w:hAnsi="Maax"/>
          <w:sz w:val="20"/>
          <w:szCs w:val="20"/>
        </w:rPr>
        <w:t xml:space="preserve"> obiettivi</w:t>
      </w:r>
      <w:r w:rsidRPr="00392643">
        <w:rPr>
          <w:rFonts w:ascii="Maax" w:hAnsi="Maax"/>
          <w:sz w:val="20"/>
          <w:szCs w:val="20"/>
        </w:rPr>
        <w:t>:</w:t>
      </w:r>
    </w:p>
    <w:p w14:paraId="22494E0E" w14:textId="28C6274E" w:rsidR="002B516A" w:rsidRPr="00392643" w:rsidRDefault="002B516A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assicurarsi il maggior numero possibile di siti strategici con una configurazione minima, per estendersi </w:t>
      </w:r>
      <w:r w:rsidR="00404FDF" w:rsidRPr="00392643">
        <w:rPr>
          <w:rFonts w:ascii="Maax" w:hAnsi="Maax"/>
          <w:sz w:val="20"/>
          <w:szCs w:val="20"/>
        </w:rPr>
        <w:t xml:space="preserve">in maniera competitiva </w:t>
      </w:r>
      <w:r w:rsidRPr="00392643">
        <w:rPr>
          <w:rFonts w:ascii="Maax" w:hAnsi="Maax"/>
          <w:sz w:val="20"/>
          <w:szCs w:val="20"/>
        </w:rPr>
        <w:t xml:space="preserve">assicurando il posizionamento di mercato </w:t>
      </w:r>
      <w:r w:rsidR="00280C4F" w:rsidRPr="00392643">
        <w:rPr>
          <w:rFonts w:ascii="Maax" w:hAnsi="Maax"/>
          <w:sz w:val="20"/>
          <w:szCs w:val="20"/>
        </w:rPr>
        <w:t xml:space="preserve">al </w:t>
      </w:r>
      <w:r w:rsidRPr="00392643">
        <w:rPr>
          <w:rFonts w:ascii="Maax" w:hAnsi="Maax"/>
          <w:sz w:val="20"/>
          <w:szCs w:val="20"/>
        </w:rPr>
        <w:t>2030; e</w:t>
      </w:r>
    </w:p>
    <w:p w14:paraId="7144251B" w14:textId="7A363D6E" w:rsidR="002B516A" w:rsidRPr="00392643" w:rsidRDefault="002B516A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ottimizzare la configurazione della tecnologia per la rapida estensione attraverso un approccio </w:t>
      </w:r>
      <w:r w:rsidR="006A5B67" w:rsidRPr="00392643">
        <w:rPr>
          <w:rFonts w:ascii="Maax" w:hAnsi="Maax"/>
          <w:sz w:val="20"/>
          <w:szCs w:val="20"/>
        </w:rPr>
        <w:t>tecnologico centralizzato</w:t>
      </w:r>
      <w:r w:rsidRPr="00392643">
        <w:rPr>
          <w:rFonts w:ascii="Maax" w:hAnsi="Maax"/>
          <w:sz w:val="20"/>
          <w:szCs w:val="20"/>
        </w:rPr>
        <w:t xml:space="preserve">, con </w:t>
      </w:r>
      <w:r w:rsidR="0019547E" w:rsidRPr="00392643">
        <w:rPr>
          <w:rFonts w:ascii="Maax" w:hAnsi="Maax"/>
          <w:sz w:val="20"/>
          <w:szCs w:val="20"/>
        </w:rPr>
        <w:t xml:space="preserve">dispositivi di ricarica </w:t>
      </w:r>
      <w:r w:rsidRPr="00392643">
        <w:rPr>
          <w:rFonts w:ascii="Maax" w:hAnsi="Maax"/>
          <w:sz w:val="20"/>
          <w:szCs w:val="20"/>
        </w:rPr>
        <w:t xml:space="preserve">fino a 200kW con servizi VGI. </w:t>
      </w:r>
    </w:p>
    <w:p w14:paraId="50A21038" w14:textId="77777777" w:rsidR="002B516A" w:rsidRPr="00392643" w:rsidRDefault="002B516A" w:rsidP="002B516A">
      <w:pPr>
        <w:spacing w:after="120" w:line="288" w:lineRule="auto"/>
        <w:jc w:val="both"/>
        <w:rPr>
          <w:rFonts w:ascii="Maax" w:hAnsi="Maax" w:cs="Arial"/>
          <w:b/>
          <w:bCs/>
          <w:color w:val="73B967"/>
          <w:sz w:val="21"/>
          <w:szCs w:val="21"/>
          <w:u w:val="single"/>
        </w:rPr>
      </w:pPr>
      <w:r w:rsidRPr="00392643">
        <w:rPr>
          <w:rFonts w:ascii="Maax" w:hAnsi="Maax"/>
          <w:b/>
          <w:bCs/>
          <w:color w:val="73B967"/>
          <w:sz w:val="21"/>
          <w:szCs w:val="21"/>
          <w:u w:val="single"/>
        </w:rPr>
        <w:t xml:space="preserve">FASE 2 – 2026 a 2030 </w:t>
      </w:r>
    </w:p>
    <w:p w14:paraId="74550F4E" w14:textId="587C863E" w:rsidR="002B516A" w:rsidRPr="00392643" w:rsidRDefault="00F435C6" w:rsidP="002B516A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>La Fase 2 del</w:t>
      </w:r>
      <w:r w:rsidR="00AD2662" w:rsidRPr="00392643">
        <w:rPr>
          <w:rFonts w:ascii="Maax" w:hAnsi="Maax"/>
          <w:sz w:val="20"/>
          <w:szCs w:val="20"/>
        </w:rPr>
        <w:t xml:space="preserve"> Progetto Atlante </w:t>
      </w:r>
      <w:r w:rsidRPr="00392643">
        <w:rPr>
          <w:rFonts w:ascii="Maax" w:hAnsi="Maax"/>
          <w:sz w:val="20"/>
          <w:szCs w:val="20"/>
        </w:rPr>
        <w:t xml:space="preserve">si concentrerà sulla rapida acquisizione di quote di mercato attraverso l’incremento delle stazioni e </w:t>
      </w:r>
      <w:r w:rsidR="00217DF9" w:rsidRPr="00392643">
        <w:rPr>
          <w:rFonts w:ascii="Maax" w:hAnsi="Maax"/>
          <w:sz w:val="20"/>
          <w:szCs w:val="20"/>
        </w:rPr>
        <w:t xml:space="preserve">l'aggiudicazione </w:t>
      </w:r>
      <w:r w:rsidRPr="00392643">
        <w:rPr>
          <w:rFonts w:ascii="Maax" w:hAnsi="Maax"/>
          <w:sz w:val="20"/>
          <w:szCs w:val="20"/>
        </w:rPr>
        <w:t>di nuovi siti. In particolare:</w:t>
      </w:r>
    </w:p>
    <w:p w14:paraId="7E3910CD" w14:textId="2A9CD655" w:rsidR="002B516A" w:rsidRPr="00392643" w:rsidRDefault="002B516A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una configurazione modulare consentirà </w:t>
      </w:r>
      <w:r w:rsidR="00217DF9" w:rsidRPr="00392643">
        <w:rPr>
          <w:rFonts w:ascii="Maax" w:hAnsi="Maax"/>
          <w:sz w:val="20"/>
          <w:szCs w:val="20"/>
        </w:rPr>
        <w:t>una scalabilità</w:t>
      </w:r>
      <w:r w:rsidRPr="00392643">
        <w:rPr>
          <w:rFonts w:ascii="Maax" w:hAnsi="Maax"/>
          <w:sz w:val="20"/>
          <w:szCs w:val="20"/>
        </w:rPr>
        <w:t xml:space="preserve"> efficace in termini di costi, dato che sempre più </w:t>
      </w:r>
      <w:r w:rsidR="00347DF3" w:rsidRPr="00392643">
        <w:rPr>
          <w:rFonts w:ascii="Maax" w:hAnsi="Maax"/>
          <w:sz w:val="20"/>
          <w:szCs w:val="20"/>
        </w:rPr>
        <w:t xml:space="preserve">punti di ricarica </w:t>
      </w:r>
      <w:r w:rsidRPr="00392643">
        <w:rPr>
          <w:rFonts w:ascii="Maax" w:hAnsi="Maax"/>
          <w:sz w:val="20"/>
          <w:szCs w:val="20"/>
        </w:rPr>
        <w:t xml:space="preserve">da 200kW saranno collegati all'approccio della stazione centralizzata, man mano che le velocità di ricarica dei </w:t>
      </w:r>
      <w:r w:rsidR="00347DF3" w:rsidRPr="00392643">
        <w:rPr>
          <w:rFonts w:ascii="Maax" w:hAnsi="Maax"/>
          <w:sz w:val="20"/>
          <w:szCs w:val="20"/>
        </w:rPr>
        <w:t xml:space="preserve">veicoli elettrici </w:t>
      </w:r>
      <w:r w:rsidRPr="00392643">
        <w:rPr>
          <w:rFonts w:ascii="Maax" w:hAnsi="Maax"/>
          <w:sz w:val="20"/>
          <w:szCs w:val="20"/>
        </w:rPr>
        <w:t xml:space="preserve">aumenteranno; e </w:t>
      </w:r>
    </w:p>
    <w:p w14:paraId="6E469735" w14:textId="6301F764" w:rsidR="002B516A" w:rsidRPr="00392643" w:rsidRDefault="002B516A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>l’uso di una scala crescente nel VGI permetterà di passare a servizi di rete più avanzati</w:t>
      </w:r>
      <w:r w:rsidR="00210813" w:rsidRPr="00392643">
        <w:rPr>
          <w:rFonts w:ascii="Maax" w:hAnsi="Maax"/>
          <w:sz w:val="20"/>
          <w:szCs w:val="20"/>
        </w:rPr>
        <w:t xml:space="preserve">, </w:t>
      </w:r>
      <w:r w:rsidRPr="00392643">
        <w:rPr>
          <w:rFonts w:ascii="Maax" w:hAnsi="Maax"/>
          <w:sz w:val="20"/>
          <w:szCs w:val="20"/>
        </w:rPr>
        <w:t>ad esempio il bilanciamento della rete</w:t>
      </w:r>
      <w:r w:rsidR="00210813" w:rsidRPr="00392643">
        <w:rPr>
          <w:rFonts w:ascii="Maax" w:hAnsi="Maax"/>
          <w:sz w:val="20"/>
          <w:szCs w:val="20"/>
        </w:rPr>
        <w:t>,</w:t>
      </w:r>
      <w:r w:rsidRPr="00392643">
        <w:rPr>
          <w:rFonts w:ascii="Maax" w:hAnsi="Maax"/>
          <w:sz w:val="20"/>
          <w:szCs w:val="20"/>
        </w:rPr>
        <w:t xml:space="preserve"> per ottimizzare</w:t>
      </w:r>
      <w:r w:rsidR="0043606F" w:rsidRPr="00392643">
        <w:rPr>
          <w:rFonts w:ascii="Maax" w:hAnsi="Maax"/>
          <w:sz w:val="20"/>
          <w:szCs w:val="20"/>
        </w:rPr>
        <w:t xml:space="preserve"> ulteriormente</w:t>
      </w:r>
      <w:r w:rsidRPr="00392643">
        <w:rPr>
          <w:rFonts w:ascii="Maax" w:hAnsi="Maax"/>
          <w:sz w:val="20"/>
          <w:szCs w:val="20"/>
        </w:rPr>
        <w:t xml:space="preserve"> </w:t>
      </w:r>
      <w:r w:rsidR="009E1C7A" w:rsidRPr="00392643">
        <w:rPr>
          <w:rFonts w:ascii="Maax" w:hAnsi="Maax"/>
          <w:sz w:val="20"/>
          <w:szCs w:val="20"/>
        </w:rPr>
        <w:t>l’integrazione con la rete elettrica</w:t>
      </w:r>
      <w:r w:rsidRPr="00392643">
        <w:rPr>
          <w:rFonts w:ascii="Maax" w:hAnsi="Maax"/>
          <w:sz w:val="20"/>
          <w:szCs w:val="20"/>
        </w:rPr>
        <w:t>,</w:t>
      </w:r>
    </w:p>
    <w:p w14:paraId="50D7C087" w14:textId="1E129877" w:rsidR="00B4569F" w:rsidRPr="00392643" w:rsidRDefault="00F435C6" w:rsidP="00B4569F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puntando a una quota di mercato del 15% nei Paesi </w:t>
      </w:r>
      <w:r w:rsidR="009E1C7A" w:rsidRPr="00392643">
        <w:rPr>
          <w:rFonts w:ascii="Maax" w:hAnsi="Maax"/>
          <w:sz w:val="20"/>
          <w:szCs w:val="20"/>
        </w:rPr>
        <w:t>Strategici</w:t>
      </w:r>
      <w:r w:rsidRPr="00392643">
        <w:rPr>
          <w:rFonts w:ascii="Maax" w:hAnsi="Maax"/>
          <w:sz w:val="20"/>
          <w:szCs w:val="20"/>
        </w:rPr>
        <w:t xml:space="preserve">, e tale massa critica </w:t>
      </w:r>
      <w:r w:rsidR="009E1C7A" w:rsidRPr="00392643">
        <w:rPr>
          <w:rFonts w:ascii="Maax" w:hAnsi="Maax"/>
          <w:sz w:val="20"/>
          <w:szCs w:val="20"/>
        </w:rPr>
        <w:t>sosterrà</w:t>
      </w:r>
      <w:r w:rsidRPr="00392643">
        <w:rPr>
          <w:rFonts w:ascii="Maax" w:hAnsi="Maax"/>
          <w:sz w:val="20"/>
          <w:szCs w:val="20"/>
        </w:rPr>
        <w:t xml:space="preserve"> l’obiettivo di un rendimento medio </w:t>
      </w:r>
      <w:r w:rsidR="00862938" w:rsidRPr="00392643">
        <w:rPr>
          <w:rFonts w:ascii="Maax" w:hAnsi="Maax"/>
          <w:sz w:val="20"/>
          <w:szCs w:val="20"/>
        </w:rPr>
        <w:t>a doppia cifra</w:t>
      </w:r>
      <w:r w:rsidRPr="00392643">
        <w:rPr>
          <w:rFonts w:ascii="Maax" w:hAnsi="Maax"/>
          <w:sz w:val="20"/>
          <w:szCs w:val="20"/>
        </w:rPr>
        <w:t>.</w:t>
      </w:r>
    </w:p>
    <w:p w14:paraId="6B2B97A0" w14:textId="3F3B6D38" w:rsidR="002B516A" w:rsidRPr="00392643" w:rsidRDefault="00183385" w:rsidP="002B516A">
      <w:pPr>
        <w:spacing w:before="240" w:after="120" w:line="288" w:lineRule="auto"/>
        <w:rPr>
          <w:rFonts w:ascii="Maax" w:hAnsi="Maax" w:cs="Arial"/>
          <w:b/>
          <w:bCs/>
          <w:color w:val="73B967"/>
          <w:sz w:val="21"/>
          <w:szCs w:val="21"/>
          <w:u w:val="single"/>
        </w:rPr>
      </w:pPr>
      <w:r w:rsidRPr="00392643">
        <w:rPr>
          <w:rFonts w:ascii="Maax" w:hAnsi="Maax"/>
          <w:b/>
          <w:bCs/>
          <w:color w:val="73B967"/>
          <w:sz w:val="21"/>
          <w:szCs w:val="21"/>
          <w:u w:val="single"/>
        </w:rPr>
        <w:t>Progetto Atlante: competenze industriali chiave e partner</w:t>
      </w:r>
    </w:p>
    <w:p w14:paraId="0264B783" w14:textId="5284FAFD" w:rsidR="002B516A" w:rsidRPr="00392643" w:rsidRDefault="002B516A" w:rsidP="002B516A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>Al fine di raggiungere gli obiettivi di mercato e finanziari sopra descritti, il Progetto Atlante dovrà fare leva su:</w:t>
      </w:r>
    </w:p>
    <w:p w14:paraId="6CE0BCBB" w14:textId="77777777" w:rsidR="002B516A" w:rsidRPr="00392643" w:rsidRDefault="002B516A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tecnologie specifiche, competenze e capacità industriali: </w:t>
      </w:r>
    </w:p>
    <w:p w14:paraId="04B54F38" w14:textId="3FA1EA80" w:rsidR="002B516A" w:rsidRPr="00392643" w:rsidRDefault="0083505E" w:rsidP="002B516A">
      <w:pPr>
        <w:pStyle w:val="Paragrafoelenco"/>
        <w:numPr>
          <w:ilvl w:val="1"/>
          <w:numId w:val="1"/>
        </w:numPr>
        <w:spacing w:after="120" w:line="288" w:lineRule="auto"/>
        <w:ind w:left="709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un </w:t>
      </w:r>
      <w:r w:rsidR="00DC18A9" w:rsidRPr="00392643">
        <w:rPr>
          <w:rFonts w:ascii="Maax" w:hAnsi="Maax"/>
          <w:sz w:val="20"/>
          <w:szCs w:val="20"/>
        </w:rPr>
        <w:t>portafoglio</w:t>
      </w:r>
      <w:r w:rsidRPr="00392643">
        <w:rPr>
          <w:rFonts w:ascii="Maax" w:hAnsi="Maax"/>
          <w:sz w:val="20"/>
          <w:szCs w:val="20"/>
        </w:rPr>
        <w:t xml:space="preserve"> completo</w:t>
      </w:r>
      <w:r w:rsidR="00F435C6" w:rsidRPr="00392643">
        <w:rPr>
          <w:rFonts w:ascii="Maax" w:hAnsi="Maax"/>
          <w:sz w:val="20"/>
          <w:szCs w:val="20"/>
        </w:rPr>
        <w:t xml:space="preserve"> di prodotti, servizi e tecnologie per la mobilità elettrica, compresa la tecnologia VGI e le capacità dei fornitori di servizi di mobilità elettrificata, che saranno forniti da Free2Move </w:t>
      </w:r>
      <w:proofErr w:type="spellStart"/>
      <w:r w:rsidR="00F435C6" w:rsidRPr="00392643">
        <w:rPr>
          <w:rFonts w:ascii="Maax" w:hAnsi="Maax"/>
          <w:sz w:val="20"/>
          <w:szCs w:val="20"/>
        </w:rPr>
        <w:t>eSolutions</w:t>
      </w:r>
      <w:proofErr w:type="spellEnd"/>
      <w:r w:rsidR="00F435C6" w:rsidRPr="00392643">
        <w:rPr>
          <w:rFonts w:ascii="Maax" w:hAnsi="Maax"/>
          <w:sz w:val="20"/>
          <w:szCs w:val="20"/>
        </w:rPr>
        <w:t xml:space="preserve">; </w:t>
      </w:r>
    </w:p>
    <w:p w14:paraId="3AACD682" w14:textId="4B995889" w:rsidR="002B516A" w:rsidRPr="00392643" w:rsidRDefault="00347687" w:rsidP="002B516A">
      <w:pPr>
        <w:pStyle w:val="Paragrafoelenco"/>
        <w:numPr>
          <w:ilvl w:val="1"/>
          <w:numId w:val="1"/>
        </w:numPr>
        <w:spacing w:after="120" w:line="288" w:lineRule="auto"/>
        <w:ind w:left="709"/>
        <w:jc w:val="both"/>
        <w:rPr>
          <w:rFonts w:ascii="Maax" w:hAnsi="Maax" w:cs="Arial"/>
          <w:sz w:val="20"/>
          <w:szCs w:val="20"/>
        </w:rPr>
      </w:pPr>
      <w:proofErr w:type="spellStart"/>
      <w:r w:rsidRPr="00392643">
        <w:rPr>
          <w:rFonts w:ascii="Maax" w:hAnsi="Maax"/>
          <w:sz w:val="20"/>
          <w:szCs w:val="20"/>
        </w:rPr>
        <w:t>microreti</w:t>
      </w:r>
      <w:proofErr w:type="spellEnd"/>
      <w:r w:rsidR="00F435C6" w:rsidRPr="00392643">
        <w:rPr>
          <w:rFonts w:ascii="Maax" w:hAnsi="Maax"/>
          <w:sz w:val="20"/>
          <w:szCs w:val="20"/>
        </w:rPr>
        <w:t xml:space="preserve">, </w:t>
      </w:r>
      <w:r w:rsidRPr="00392643">
        <w:rPr>
          <w:rFonts w:ascii="Maax" w:hAnsi="Maax"/>
          <w:sz w:val="20"/>
          <w:szCs w:val="20"/>
        </w:rPr>
        <w:t>accumulo</w:t>
      </w:r>
      <w:r w:rsidR="00F435C6" w:rsidRPr="00392643">
        <w:rPr>
          <w:rFonts w:ascii="Maax" w:hAnsi="Maax"/>
          <w:sz w:val="20"/>
          <w:szCs w:val="20"/>
        </w:rPr>
        <w:t xml:space="preserve"> di energia e tecnologia di interconnessione della rete, compresa l'integrazione del sistema elettrico, l'ingegneria, l'approvvigionamento, la costruzione e le capacità di sviluppo, che saranno forniti da NHOA. </w:t>
      </w:r>
    </w:p>
    <w:p w14:paraId="5DDB3525" w14:textId="1812DF68" w:rsidR="00F435C6" w:rsidRPr="00392643" w:rsidRDefault="00F435C6" w:rsidP="00F435C6">
      <w:pPr>
        <w:spacing w:after="120" w:line="288" w:lineRule="auto"/>
        <w:ind w:left="349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A tal proposito, in qualità di fornitore </w:t>
      </w:r>
      <w:r w:rsidR="005B7F91" w:rsidRPr="00392643">
        <w:rPr>
          <w:rFonts w:ascii="Maax" w:hAnsi="Maax"/>
          <w:sz w:val="20"/>
          <w:szCs w:val="20"/>
        </w:rPr>
        <w:t>tecnologico</w:t>
      </w:r>
      <w:r w:rsidRPr="00392643">
        <w:rPr>
          <w:rFonts w:ascii="Maax" w:hAnsi="Maax"/>
          <w:sz w:val="20"/>
          <w:szCs w:val="20"/>
        </w:rPr>
        <w:t xml:space="preserve"> </w:t>
      </w:r>
      <w:r w:rsidR="00BB4D1F" w:rsidRPr="00392643">
        <w:rPr>
          <w:rFonts w:ascii="Maax" w:hAnsi="Maax"/>
          <w:sz w:val="20"/>
          <w:szCs w:val="20"/>
        </w:rPr>
        <w:t xml:space="preserve">preferenziale </w:t>
      </w:r>
      <w:r w:rsidRPr="00392643">
        <w:rPr>
          <w:rFonts w:ascii="Maax" w:hAnsi="Maax"/>
          <w:sz w:val="20"/>
          <w:szCs w:val="20"/>
        </w:rPr>
        <w:t xml:space="preserve">chiavi in mano, Free2Move </w:t>
      </w:r>
      <w:proofErr w:type="spellStart"/>
      <w:r w:rsidRPr="00392643">
        <w:rPr>
          <w:rFonts w:ascii="Maax" w:hAnsi="Maax"/>
          <w:sz w:val="20"/>
          <w:szCs w:val="20"/>
        </w:rPr>
        <w:t>eSolutions</w:t>
      </w:r>
      <w:proofErr w:type="spellEnd"/>
      <w:r w:rsidRPr="00392643">
        <w:rPr>
          <w:rFonts w:ascii="Maax" w:hAnsi="Maax"/>
          <w:sz w:val="20"/>
          <w:szCs w:val="20"/>
        </w:rPr>
        <w:t xml:space="preserve"> agirà come general contractor preferenziale nei confronti di </w:t>
      </w:r>
      <w:proofErr w:type="spellStart"/>
      <w:proofErr w:type="gramStart"/>
      <w:r w:rsidRPr="00392643">
        <w:rPr>
          <w:rFonts w:ascii="Maax" w:hAnsi="Maax"/>
          <w:sz w:val="20"/>
          <w:szCs w:val="20"/>
        </w:rPr>
        <w:t>AtlanteCo</w:t>
      </w:r>
      <w:proofErr w:type="spellEnd"/>
      <w:proofErr w:type="gramEnd"/>
      <w:r w:rsidRPr="00392643">
        <w:rPr>
          <w:rFonts w:ascii="Maax" w:hAnsi="Maax"/>
          <w:sz w:val="20"/>
          <w:szCs w:val="20"/>
        </w:rPr>
        <w:t>, facendo leva sulle competenze di tutti i partner del progetto e, soprattutto, sulle capacità di integrazione di sistema, ingegneria, approvvigionamento, costruzione e sviluppo di NHOA.</w:t>
      </w:r>
    </w:p>
    <w:p w14:paraId="13AE17CA" w14:textId="2D0DDDC5" w:rsidR="002B516A" w:rsidRPr="00392643" w:rsidRDefault="00F435C6" w:rsidP="002B516A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lastRenderedPageBreak/>
        <w:t xml:space="preserve">un'ampia copertura di rete e un rapido accesso a siti di ricarica strategici, che saranno individuati con il supporto di </w:t>
      </w:r>
      <w:proofErr w:type="spellStart"/>
      <w:r w:rsidRPr="00392643">
        <w:rPr>
          <w:rFonts w:ascii="Maax" w:hAnsi="Maax"/>
          <w:sz w:val="20"/>
          <w:szCs w:val="20"/>
        </w:rPr>
        <w:t>Stellantis</w:t>
      </w:r>
      <w:proofErr w:type="spellEnd"/>
      <w:r w:rsidRPr="00392643">
        <w:rPr>
          <w:rFonts w:ascii="Maax" w:hAnsi="Maax"/>
          <w:sz w:val="20"/>
          <w:szCs w:val="20"/>
        </w:rPr>
        <w:t>, coinvolgendo anche la sua rete di concessionari e altri partner, in particolare nei primi 18 mesi alla luce della complessità e dei tempi</w:t>
      </w:r>
      <w:r w:rsidR="005738E0" w:rsidRPr="00392643">
        <w:rPr>
          <w:rFonts w:ascii="Maax" w:hAnsi="Maax"/>
          <w:sz w:val="20"/>
          <w:szCs w:val="20"/>
        </w:rPr>
        <w:t xml:space="preserve"> di sviluppo</w:t>
      </w:r>
      <w:r w:rsidRPr="00392643">
        <w:rPr>
          <w:rFonts w:ascii="Maax" w:hAnsi="Maax"/>
          <w:sz w:val="20"/>
          <w:szCs w:val="20"/>
        </w:rPr>
        <w:t xml:space="preserve">; e </w:t>
      </w:r>
    </w:p>
    <w:p w14:paraId="4F4338D8" w14:textId="79D3499F" w:rsidR="006C50EE" w:rsidRPr="00392643" w:rsidRDefault="00916AD8" w:rsidP="003C1367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/>
        </w:rPr>
      </w:pPr>
      <w:r w:rsidRPr="00392643">
        <w:rPr>
          <w:rFonts w:ascii="Maax" w:hAnsi="Maax"/>
          <w:sz w:val="20"/>
          <w:szCs w:val="20"/>
        </w:rPr>
        <w:t xml:space="preserve">un'ampia base di clienti, con la capacità di </w:t>
      </w:r>
      <w:proofErr w:type="spellStart"/>
      <w:r w:rsidRPr="00392643">
        <w:rPr>
          <w:rFonts w:ascii="Maax" w:hAnsi="Maax"/>
          <w:sz w:val="20"/>
          <w:szCs w:val="20"/>
        </w:rPr>
        <w:t>Stellantis</w:t>
      </w:r>
      <w:proofErr w:type="spellEnd"/>
      <w:r w:rsidRPr="00392643">
        <w:rPr>
          <w:rFonts w:ascii="Maax" w:hAnsi="Maax"/>
          <w:sz w:val="20"/>
          <w:szCs w:val="20"/>
        </w:rPr>
        <w:t xml:space="preserve"> di offrire programmi di fidelizzazione per i</w:t>
      </w:r>
      <w:r w:rsidR="009021E7" w:rsidRPr="00392643">
        <w:rPr>
          <w:rFonts w:ascii="Maax" w:hAnsi="Maax"/>
          <w:sz w:val="20"/>
          <w:szCs w:val="20"/>
        </w:rPr>
        <w:t xml:space="preserve"> propri</w:t>
      </w:r>
      <w:r w:rsidRPr="00392643">
        <w:rPr>
          <w:rFonts w:ascii="Maax" w:hAnsi="Maax"/>
          <w:sz w:val="20"/>
          <w:szCs w:val="20"/>
        </w:rPr>
        <w:t xml:space="preserve"> clienti e garantire un alto tasso di utilizzo </w:t>
      </w:r>
      <w:r w:rsidR="009021E7" w:rsidRPr="00392643">
        <w:rPr>
          <w:rFonts w:ascii="Maax" w:hAnsi="Maax"/>
          <w:sz w:val="20"/>
          <w:szCs w:val="20"/>
        </w:rPr>
        <w:t>del</w:t>
      </w:r>
      <w:r w:rsidRPr="00392643">
        <w:rPr>
          <w:rFonts w:ascii="Maax" w:hAnsi="Maax"/>
          <w:sz w:val="20"/>
          <w:szCs w:val="20"/>
        </w:rPr>
        <w:t>la rete Atlante</w:t>
      </w:r>
      <w:r w:rsidR="002B758A" w:rsidRPr="00392643">
        <w:rPr>
          <w:rFonts w:ascii="Maax" w:hAnsi="Maax"/>
          <w:sz w:val="20"/>
          <w:szCs w:val="20"/>
        </w:rPr>
        <w:t xml:space="preserve">; </w:t>
      </w:r>
    </w:p>
    <w:p w14:paraId="2D79636D" w14:textId="140CFE58" w:rsidR="00F578C2" w:rsidRPr="00392643" w:rsidRDefault="00EA08B5" w:rsidP="003C1367">
      <w:pPr>
        <w:pStyle w:val="Paragrafoelenco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Maax" w:hAnsi="Maax" w:cs="Arial"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 xml:space="preserve">significative risorse finanziarie che NHOA ha intenzione di reperire, a partire dal finanziamento di </w:t>
      </w:r>
      <w:r w:rsidR="0051285B" w:rsidRPr="00392643">
        <w:rPr>
          <w:rFonts w:ascii="Maax" w:hAnsi="Maax"/>
          <w:sz w:val="20"/>
          <w:szCs w:val="20"/>
        </w:rPr>
        <w:t>50</w:t>
      </w:r>
      <w:r w:rsidRPr="00392643">
        <w:rPr>
          <w:rFonts w:ascii="Maax" w:hAnsi="Maax"/>
          <w:sz w:val="20"/>
          <w:szCs w:val="20"/>
        </w:rPr>
        <w:t xml:space="preserve"> milioni di </w:t>
      </w:r>
      <w:r w:rsidR="0062486E" w:rsidRPr="00392643">
        <w:rPr>
          <w:rFonts w:ascii="Maax" w:hAnsi="Maax"/>
          <w:sz w:val="20"/>
          <w:szCs w:val="20"/>
        </w:rPr>
        <w:t xml:space="preserve">dollari </w:t>
      </w:r>
      <w:r w:rsidRPr="00392643">
        <w:rPr>
          <w:rFonts w:ascii="Maax" w:hAnsi="Maax"/>
          <w:sz w:val="20"/>
          <w:szCs w:val="20"/>
        </w:rPr>
        <w:t>che si è già assicurata e da</w:t>
      </w:r>
      <w:r w:rsidR="00770959" w:rsidRPr="00392643">
        <w:rPr>
          <w:rFonts w:ascii="Maax" w:hAnsi="Maax"/>
          <w:sz w:val="20"/>
          <w:szCs w:val="20"/>
        </w:rPr>
        <w:t>gli</w:t>
      </w:r>
      <w:r w:rsidRPr="00392643">
        <w:rPr>
          <w:rFonts w:ascii="Maax" w:hAnsi="Maax"/>
          <w:sz w:val="20"/>
          <w:szCs w:val="20"/>
        </w:rPr>
        <w:t xml:space="preserve"> ulteriori 130 milioni di euro provenienti da un potenziale aumento di capitale come delineato nel Masterplan10x e nelle Ambizioni Strategiche pubblicate alla data del presente documento</w:t>
      </w:r>
      <w:r w:rsidR="00392643">
        <w:rPr>
          <w:rFonts w:ascii="Maax" w:hAnsi="Maax"/>
          <w:sz w:val="20"/>
          <w:szCs w:val="20"/>
        </w:rPr>
        <w:t>.</w:t>
      </w:r>
    </w:p>
    <w:p w14:paraId="2E4AE10D" w14:textId="1C34CDE2" w:rsidR="00183385" w:rsidRPr="00392643" w:rsidRDefault="00183385" w:rsidP="005C5D9F">
      <w:pPr>
        <w:spacing w:after="120" w:line="288" w:lineRule="auto"/>
        <w:jc w:val="both"/>
        <w:rPr>
          <w:rFonts w:ascii="Maax" w:hAnsi="Maax" w:cs="Arial"/>
          <w:color w:val="73B967"/>
          <w:sz w:val="20"/>
          <w:szCs w:val="20"/>
        </w:rPr>
      </w:pPr>
      <w:r w:rsidRPr="00392643">
        <w:rPr>
          <w:rFonts w:ascii="Maax" w:hAnsi="Maax"/>
          <w:b/>
          <w:bCs/>
          <w:color w:val="73B967"/>
          <w:sz w:val="21"/>
          <w:szCs w:val="21"/>
          <w:u w:val="single"/>
        </w:rPr>
        <w:t xml:space="preserve">Progetto Atlante: esecuzione </w:t>
      </w:r>
    </w:p>
    <w:p w14:paraId="30A17276" w14:textId="1F570106" w:rsidR="003C1367" w:rsidRPr="00392643" w:rsidRDefault="00AD714D" w:rsidP="005C5D9F">
      <w:pPr>
        <w:spacing w:after="120" w:line="288" w:lineRule="auto"/>
        <w:jc w:val="both"/>
        <w:rPr>
          <w:rFonts w:ascii="Maax" w:hAnsi="Maax" w:cs="Arial"/>
          <w:b/>
          <w:bCs/>
          <w:sz w:val="20"/>
          <w:szCs w:val="20"/>
        </w:rPr>
      </w:pPr>
      <w:r w:rsidRPr="00392643">
        <w:rPr>
          <w:rFonts w:ascii="Maax" w:hAnsi="Maax"/>
          <w:sz w:val="20"/>
          <w:szCs w:val="20"/>
        </w:rPr>
        <w:t>Come indicato nel Masterplan10x e nelle Ambizioni Strategiche pubblicate da NHOA in data odierna, il Progetto Atlante farà parte de</w:t>
      </w:r>
      <w:r w:rsidR="00643EBC" w:rsidRPr="00392643">
        <w:rPr>
          <w:rFonts w:ascii="Maax" w:hAnsi="Maax"/>
          <w:sz w:val="20"/>
          <w:szCs w:val="20"/>
        </w:rPr>
        <w:t>l</w:t>
      </w:r>
      <w:r w:rsidRPr="00392643">
        <w:rPr>
          <w:rFonts w:ascii="Maax" w:hAnsi="Maax"/>
          <w:sz w:val="20"/>
          <w:szCs w:val="20"/>
        </w:rPr>
        <w:t xml:space="preserve"> </w:t>
      </w:r>
      <w:r w:rsidR="00770959" w:rsidRPr="00392643">
        <w:rPr>
          <w:rFonts w:ascii="Maax" w:hAnsi="Maax"/>
          <w:i/>
          <w:iCs/>
          <w:sz w:val="20"/>
          <w:szCs w:val="20"/>
        </w:rPr>
        <w:t>Trading Update</w:t>
      </w:r>
      <w:r w:rsidRPr="00392643">
        <w:rPr>
          <w:rFonts w:ascii="Maax" w:hAnsi="Maax"/>
          <w:sz w:val="20"/>
          <w:szCs w:val="20"/>
        </w:rPr>
        <w:t xml:space="preserve"> </w:t>
      </w:r>
      <w:r w:rsidR="00770959" w:rsidRPr="00392643">
        <w:rPr>
          <w:rFonts w:ascii="Maax" w:hAnsi="Maax"/>
          <w:sz w:val="20"/>
          <w:szCs w:val="20"/>
        </w:rPr>
        <w:t xml:space="preserve">che sarà </w:t>
      </w:r>
      <w:r w:rsidRPr="00392643">
        <w:rPr>
          <w:rFonts w:ascii="Maax" w:hAnsi="Maax"/>
          <w:sz w:val="20"/>
          <w:szCs w:val="20"/>
        </w:rPr>
        <w:t>pubblicat</w:t>
      </w:r>
      <w:r w:rsidR="00770959" w:rsidRPr="00392643">
        <w:rPr>
          <w:rFonts w:ascii="Maax" w:hAnsi="Maax"/>
          <w:sz w:val="20"/>
          <w:szCs w:val="20"/>
        </w:rPr>
        <w:t>o</w:t>
      </w:r>
      <w:r w:rsidRPr="00392643">
        <w:rPr>
          <w:rFonts w:ascii="Maax" w:hAnsi="Maax"/>
          <w:sz w:val="20"/>
          <w:szCs w:val="20"/>
        </w:rPr>
        <w:t xml:space="preserve"> trimestralmente da NHOA. Gli indicatori di performance trimestrali per il Progetto Atlante </w:t>
      </w:r>
      <w:r w:rsidR="00770959" w:rsidRPr="00392643">
        <w:rPr>
          <w:rFonts w:ascii="Maax" w:hAnsi="Maax"/>
          <w:sz w:val="20"/>
          <w:szCs w:val="20"/>
        </w:rPr>
        <w:t>saranno</w:t>
      </w:r>
      <w:r w:rsidRPr="00392643">
        <w:rPr>
          <w:rFonts w:ascii="Maax" w:hAnsi="Maax"/>
          <w:sz w:val="20"/>
          <w:szCs w:val="20"/>
        </w:rPr>
        <w:t xml:space="preserve"> (i) tasso di utilizzo della </w:t>
      </w:r>
      <w:r w:rsidR="004F162D" w:rsidRPr="00392643">
        <w:rPr>
          <w:rFonts w:ascii="Maax" w:hAnsi="Maax"/>
          <w:sz w:val="20"/>
          <w:szCs w:val="20"/>
        </w:rPr>
        <w:t>R</w:t>
      </w:r>
      <w:r w:rsidRPr="00392643">
        <w:rPr>
          <w:rFonts w:ascii="Maax" w:hAnsi="Maax"/>
          <w:sz w:val="20"/>
          <w:szCs w:val="20"/>
        </w:rPr>
        <w:t xml:space="preserve">ete, (ii) numero di siti, </w:t>
      </w:r>
      <w:r w:rsidR="00732601" w:rsidRPr="00392643">
        <w:rPr>
          <w:rFonts w:ascii="Maax" w:hAnsi="Maax"/>
          <w:sz w:val="20"/>
          <w:szCs w:val="20"/>
        </w:rPr>
        <w:t xml:space="preserve">dispositivi di ricarica </w:t>
      </w:r>
      <w:r w:rsidRPr="00392643">
        <w:rPr>
          <w:rFonts w:ascii="Maax" w:hAnsi="Maax"/>
          <w:sz w:val="20"/>
          <w:szCs w:val="20"/>
        </w:rPr>
        <w:t>rapid</w:t>
      </w:r>
      <w:r w:rsidR="00732601" w:rsidRPr="00392643">
        <w:rPr>
          <w:rFonts w:ascii="Maax" w:hAnsi="Maax"/>
          <w:sz w:val="20"/>
          <w:szCs w:val="20"/>
        </w:rPr>
        <w:t>a</w:t>
      </w:r>
      <w:r w:rsidRPr="00392643">
        <w:rPr>
          <w:rFonts w:ascii="Maax" w:hAnsi="Maax"/>
          <w:sz w:val="20"/>
          <w:szCs w:val="20"/>
        </w:rPr>
        <w:t xml:space="preserve"> e </w:t>
      </w:r>
      <w:proofErr w:type="spellStart"/>
      <w:r w:rsidR="00732601" w:rsidRPr="00392643">
        <w:rPr>
          <w:rFonts w:ascii="Maax" w:hAnsi="Maax"/>
          <w:sz w:val="20"/>
          <w:szCs w:val="20"/>
        </w:rPr>
        <w:t>microreti</w:t>
      </w:r>
      <w:proofErr w:type="spellEnd"/>
      <w:r w:rsidRPr="00392643">
        <w:rPr>
          <w:rFonts w:ascii="Maax" w:hAnsi="Maax"/>
          <w:sz w:val="20"/>
          <w:szCs w:val="20"/>
        </w:rPr>
        <w:t xml:space="preserve"> online, (iii) aggiornamento </w:t>
      </w:r>
      <w:r w:rsidR="00732601" w:rsidRPr="00392643">
        <w:rPr>
          <w:rFonts w:ascii="Maax" w:hAnsi="Maax"/>
          <w:sz w:val="20"/>
          <w:szCs w:val="20"/>
        </w:rPr>
        <w:t>della pipeline di sviluppo</w:t>
      </w:r>
      <w:r w:rsidRPr="00392643">
        <w:rPr>
          <w:rFonts w:ascii="Maax" w:hAnsi="Maax"/>
          <w:sz w:val="20"/>
          <w:szCs w:val="20"/>
        </w:rPr>
        <w:t xml:space="preserve"> e (iv)</w:t>
      </w:r>
      <w:r w:rsidR="00732601" w:rsidRPr="00392643">
        <w:rPr>
          <w:rFonts w:ascii="Maax" w:hAnsi="Maax"/>
          <w:sz w:val="20"/>
          <w:szCs w:val="20"/>
        </w:rPr>
        <w:t xml:space="preserve"> relativo</w:t>
      </w:r>
      <w:r w:rsidRPr="00392643">
        <w:rPr>
          <w:rFonts w:ascii="Maax" w:hAnsi="Maax"/>
          <w:sz w:val="20"/>
          <w:szCs w:val="20"/>
        </w:rPr>
        <w:t xml:space="preserve"> tasso di conversione.</w:t>
      </w:r>
    </w:p>
    <w:p w14:paraId="41B3BF96" w14:textId="77777777" w:rsidR="005B5658" w:rsidRPr="00392643" w:rsidRDefault="005B5658" w:rsidP="005B5658">
      <w:pPr>
        <w:spacing w:after="120" w:line="276" w:lineRule="auto"/>
        <w:ind w:right="-6"/>
        <w:jc w:val="center"/>
        <w:rPr>
          <w:rFonts w:ascii="Maax" w:eastAsia="Arial" w:hAnsi="Maax" w:cs="Arial"/>
          <w:color w:val="595959" w:themeColor="text1" w:themeTint="A6"/>
          <w:sz w:val="16"/>
          <w:szCs w:val="16"/>
        </w:rPr>
      </w:pPr>
      <w:r w:rsidRPr="00392643">
        <w:rPr>
          <w:rFonts w:ascii="Maax" w:hAnsi="Maax"/>
          <w:color w:val="595959" w:themeColor="text1" w:themeTint="A6"/>
          <w:sz w:val="16"/>
          <w:szCs w:val="16"/>
        </w:rPr>
        <w:t>*  *  *</w:t>
      </w:r>
    </w:p>
    <w:p w14:paraId="27C9A726" w14:textId="5A6F45F8" w:rsidR="005B5658" w:rsidRPr="00392643" w:rsidRDefault="005B5658" w:rsidP="005B5658">
      <w:pPr>
        <w:autoSpaceDE w:val="0"/>
        <w:autoSpaceDN w:val="0"/>
        <w:spacing w:after="120"/>
        <w:jc w:val="both"/>
        <w:rPr>
          <w:rFonts w:ascii="Maax" w:hAnsi="Maax" w:cs="Arial"/>
          <w:color w:val="73B967"/>
          <w:sz w:val="16"/>
          <w:szCs w:val="16"/>
        </w:rPr>
      </w:pPr>
      <w:r w:rsidRPr="00392643">
        <w:rPr>
          <w:rFonts w:ascii="Maax" w:hAnsi="Maax"/>
          <w:b/>
          <w:color w:val="73B967"/>
          <w:sz w:val="16"/>
          <w:szCs w:val="16"/>
        </w:rPr>
        <w:t>NHOA</w:t>
      </w:r>
    </w:p>
    <w:p w14:paraId="05989E4D" w14:textId="30D52430" w:rsidR="00C04980" w:rsidRPr="00392643" w:rsidRDefault="005B5658" w:rsidP="005B5658">
      <w:pPr>
        <w:ind w:right="78"/>
        <w:jc w:val="both"/>
        <w:rPr>
          <w:rFonts w:ascii="Maax" w:hAnsi="Maax" w:cs="Arial"/>
          <w:color w:val="595959"/>
          <w:sz w:val="16"/>
          <w:szCs w:val="16"/>
        </w:rPr>
      </w:pPr>
      <w:r w:rsidRPr="00392643">
        <w:rPr>
          <w:rFonts w:ascii="Maax" w:hAnsi="Maax"/>
          <w:color w:val="595959"/>
          <w:sz w:val="16"/>
          <w:szCs w:val="16"/>
        </w:rPr>
        <w:t>NHOA sviluppa tecnologie che consentono la transizione globale verso l'energia pulita e la mobilità sostenibile, plasmando il futuro di una prossima generazione che vive in armonia con il nostro pianeta.</w:t>
      </w:r>
    </w:p>
    <w:p w14:paraId="7E1E257B" w14:textId="41075878" w:rsidR="005B5658" w:rsidRPr="00392643" w:rsidRDefault="005B5658" w:rsidP="005B5658">
      <w:pPr>
        <w:ind w:right="78"/>
        <w:jc w:val="both"/>
        <w:rPr>
          <w:rFonts w:ascii="Maax" w:hAnsi="Maax" w:cs="Arial"/>
          <w:color w:val="595959"/>
          <w:sz w:val="16"/>
          <w:szCs w:val="16"/>
        </w:rPr>
      </w:pPr>
      <w:r w:rsidRPr="00392643">
        <w:rPr>
          <w:rFonts w:ascii="Maax" w:hAnsi="Maax"/>
          <w:color w:val="595959"/>
          <w:sz w:val="16"/>
          <w:szCs w:val="16"/>
        </w:rPr>
        <w:t>Quotata sul mercato regolamentato di Euronext Parigi (</w:t>
      </w:r>
      <w:r w:rsidR="00732601" w:rsidRPr="00392643">
        <w:rPr>
          <w:rFonts w:ascii="Maax" w:hAnsi="Maax"/>
          <w:color w:val="595959"/>
          <w:sz w:val="16"/>
          <w:szCs w:val="16"/>
        </w:rPr>
        <w:t>NHOA</w:t>
      </w:r>
      <w:r w:rsidRPr="00392643">
        <w:rPr>
          <w:rFonts w:ascii="Maax" w:hAnsi="Maax"/>
          <w:color w:val="595959"/>
          <w:sz w:val="16"/>
          <w:szCs w:val="16"/>
        </w:rPr>
        <w:t>.PA), NHOA fa parte degli indici finanziari CAC</w:t>
      </w:r>
      <w:r w:rsidRPr="00392643">
        <w:rPr>
          <w:rFonts w:ascii="Maax" w:hAnsi="Maax"/>
          <w:color w:val="595959"/>
          <w:sz w:val="16"/>
          <w:szCs w:val="16"/>
          <w:vertAlign w:val="superscript"/>
        </w:rPr>
        <w:t>®</w:t>
      </w:r>
      <w:r w:rsidRPr="00392643">
        <w:rPr>
          <w:rFonts w:ascii="Maax" w:hAnsi="Maax"/>
          <w:color w:val="595959"/>
          <w:sz w:val="16"/>
          <w:szCs w:val="16"/>
        </w:rPr>
        <w:t xml:space="preserve"> </w:t>
      </w:r>
      <w:proofErr w:type="spellStart"/>
      <w:r w:rsidRPr="00392643">
        <w:rPr>
          <w:rFonts w:ascii="Maax" w:hAnsi="Maax"/>
          <w:color w:val="595959"/>
          <w:sz w:val="16"/>
          <w:szCs w:val="16"/>
        </w:rPr>
        <w:t>Mid</w:t>
      </w:r>
      <w:proofErr w:type="spellEnd"/>
      <w:r w:rsidRPr="00392643">
        <w:rPr>
          <w:rFonts w:ascii="Maax" w:hAnsi="Maax"/>
          <w:color w:val="595959"/>
          <w:sz w:val="16"/>
          <w:szCs w:val="16"/>
        </w:rPr>
        <w:t xml:space="preserve"> &amp; Small e CAC</w:t>
      </w:r>
      <w:r w:rsidRPr="00392643">
        <w:rPr>
          <w:rFonts w:ascii="Maax" w:hAnsi="Maax"/>
          <w:color w:val="595959"/>
          <w:sz w:val="16"/>
          <w:szCs w:val="16"/>
          <w:vertAlign w:val="superscript"/>
        </w:rPr>
        <w:t>®</w:t>
      </w:r>
      <w:r w:rsidRPr="00392643">
        <w:rPr>
          <w:rFonts w:ascii="Maax" w:hAnsi="Maax"/>
          <w:color w:val="595959"/>
          <w:sz w:val="16"/>
          <w:szCs w:val="16"/>
        </w:rPr>
        <w:t xml:space="preserve"> </w:t>
      </w:r>
      <w:proofErr w:type="spellStart"/>
      <w:r w:rsidRPr="00392643">
        <w:rPr>
          <w:rFonts w:ascii="Maax" w:hAnsi="Maax"/>
          <w:color w:val="595959"/>
          <w:sz w:val="16"/>
          <w:szCs w:val="16"/>
        </w:rPr>
        <w:t>All-Tradable</w:t>
      </w:r>
      <w:proofErr w:type="spellEnd"/>
      <w:r w:rsidRPr="00392643">
        <w:rPr>
          <w:rFonts w:ascii="Maax" w:hAnsi="Maax"/>
          <w:color w:val="595959"/>
          <w:sz w:val="16"/>
          <w:szCs w:val="16"/>
        </w:rPr>
        <w:t xml:space="preserve">. La sede legale è a Parigi, mentre la ricerca, lo sviluppo e la produzione si trovano in Italia. </w:t>
      </w:r>
    </w:p>
    <w:p w14:paraId="6590E73A" w14:textId="582BEE63" w:rsidR="005B5658" w:rsidRPr="00392643" w:rsidRDefault="005B5658" w:rsidP="005B5658">
      <w:pPr>
        <w:ind w:right="975"/>
        <w:jc w:val="both"/>
        <w:rPr>
          <w:rFonts w:ascii="Maax" w:hAnsi="Maax" w:cs="Arial"/>
          <w:b/>
          <w:color w:val="897AB7"/>
          <w:sz w:val="16"/>
          <w:szCs w:val="16"/>
        </w:rPr>
      </w:pPr>
      <w:r w:rsidRPr="00392643">
        <w:rPr>
          <w:rFonts w:ascii="Maax" w:hAnsi="Maax"/>
          <w:color w:val="595959"/>
          <w:sz w:val="16"/>
          <w:szCs w:val="16"/>
        </w:rPr>
        <w:t>Per ulteriori informazioni, visitare</w:t>
      </w:r>
      <w:r w:rsidRPr="00392643">
        <w:rPr>
          <w:rFonts w:ascii="Maax" w:hAnsi="Maax"/>
          <w:color w:val="7F7F7F"/>
          <w:sz w:val="16"/>
          <w:szCs w:val="16"/>
        </w:rPr>
        <w:t xml:space="preserve"> </w:t>
      </w:r>
      <w:hyperlink r:id="rId12" w:history="1">
        <w:r w:rsidRPr="00392643">
          <w:rPr>
            <w:rStyle w:val="Collegamentoipertestuale"/>
            <w:rFonts w:ascii="Maax" w:hAnsi="Maax"/>
            <w:b/>
            <w:bCs/>
            <w:color w:val="897AB7"/>
            <w:sz w:val="16"/>
            <w:szCs w:val="16"/>
          </w:rPr>
          <w:t>www.nhoa.energy</w:t>
        </w:r>
      </w:hyperlink>
      <w:r w:rsidRPr="00392643">
        <w:rPr>
          <w:rFonts w:ascii="Maax" w:hAnsi="Maax"/>
          <w:b/>
          <w:color w:val="897AB7"/>
          <w:sz w:val="16"/>
          <w:szCs w:val="16"/>
        </w:rPr>
        <w:t xml:space="preserve"> </w:t>
      </w:r>
    </w:p>
    <w:p w14:paraId="32C476D8" w14:textId="77777777" w:rsidR="009D4585" w:rsidRPr="00392643" w:rsidRDefault="009D4585" w:rsidP="009D4585">
      <w:pPr>
        <w:autoSpaceDE w:val="0"/>
        <w:autoSpaceDN w:val="0"/>
        <w:spacing w:after="120"/>
        <w:jc w:val="both"/>
        <w:rPr>
          <w:rFonts w:ascii="Maax" w:hAnsi="Maax" w:cs="Arial"/>
          <w:b/>
          <w:color w:val="45C19F"/>
          <w:sz w:val="16"/>
          <w:szCs w:val="16"/>
        </w:rPr>
      </w:pPr>
    </w:p>
    <w:p w14:paraId="68D92BCA" w14:textId="73784E9A" w:rsidR="008C24E0" w:rsidRPr="00392643" w:rsidRDefault="008C24E0" w:rsidP="009D4585">
      <w:pPr>
        <w:ind w:right="78"/>
        <w:jc w:val="both"/>
        <w:rPr>
          <w:rStyle w:val="Collegamentoipertestuale"/>
          <w:rFonts w:ascii="Maax" w:hAnsi="Maax"/>
          <w:b/>
          <w:bCs/>
          <w:color w:val="45C19F"/>
        </w:rPr>
      </w:pPr>
    </w:p>
    <w:p w14:paraId="043A3801" w14:textId="53B36BE5" w:rsidR="008C24E0" w:rsidRPr="00392643" w:rsidRDefault="008C24E0" w:rsidP="008C24E0">
      <w:pPr>
        <w:autoSpaceDE w:val="0"/>
        <w:autoSpaceDN w:val="0"/>
        <w:spacing w:after="120"/>
        <w:jc w:val="both"/>
        <w:rPr>
          <w:rFonts w:ascii="Maax" w:hAnsi="Maax" w:cs="Arial"/>
          <w:b/>
          <w:color w:val="73B967"/>
          <w:sz w:val="16"/>
          <w:szCs w:val="16"/>
        </w:rPr>
      </w:pPr>
      <w:r w:rsidRPr="00392643">
        <w:rPr>
          <w:rFonts w:ascii="Maax" w:hAnsi="Maax"/>
          <w:b/>
          <w:color w:val="73B967"/>
          <w:sz w:val="16"/>
          <w:szCs w:val="16"/>
        </w:rPr>
        <w:t>Free2Move e Free2Move e-Solutions</w:t>
      </w:r>
    </w:p>
    <w:p w14:paraId="488343F9" w14:textId="77777777" w:rsidR="008C24E0" w:rsidRPr="00392643" w:rsidRDefault="008C24E0" w:rsidP="008C24E0">
      <w:pPr>
        <w:ind w:right="78"/>
        <w:jc w:val="both"/>
        <w:rPr>
          <w:rFonts w:ascii="Maax" w:hAnsi="Maax" w:cs="Arial"/>
          <w:color w:val="595959"/>
          <w:sz w:val="16"/>
          <w:szCs w:val="16"/>
        </w:rPr>
      </w:pPr>
      <w:r w:rsidRPr="00392643">
        <w:rPr>
          <w:rFonts w:ascii="Maax" w:hAnsi="Maax"/>
          <w:color w:val="595959"/>
          <w:sz w:val="16"/>
          <w:szCs w:val="16"/>
        </w:rPr>
        <w:t xml:space="preserve">Free2Move è un marchio di mobilità globale che offre un ecosistema completo e unico per i suoi clienti privati e professionali in tutto il mondo. Basandosi su dati e tecnologia, Free2Move mette l'esperienza del cliente al centro del business per reinventare la mobilità e facilitare il passaggio alla mobilità elettronica. </w:t>
      </w:r>
    </w:p>
    <w:p w14:paraId="6ED3777A" w14:textId="77777777" w:rsidR="008C24E0" w:rsidRPr="00392643" w:rsidRDefault="008C24E0" w:rsidP="008C24E0">
      <w:pPr>
        <w:ind w:right="78"/>
        <w:jc w:val="both"/>
        <w:rPr>
          <w:rFonts w:ascii="Maax" w:hAnsi="Maax" w:cs="Arial"/>
          <w:color w:val="595959"/>
          <w:sz w:val="16"/>
          <w:szCs w:val="16"/>
        </w:rPr>
      </w:pPr>
      <w:r w:rsidRPr="00392643">
        <w:rPr>
          <w:rFonts w:ascii="Maax" w:hAnsi="Maax"/>
          <w:color w:val="595959"/>
          <w:sz w:val="16"/>
          <w:szCs w:val="16"/>
        </w:rPr>
        <w:t xml:space="preserve">Free2Move </w:t>
      </w:r>
      <w:proofErr w:type="spellStart"/>
      <w:r w:rsidRPr="00392643">
        <w:rPr>
          <w:rFonts w:ascii="Maax" w:hAnsi="Maax"/>
          <w:color w:val="595959"/>
          <w:sz w:val="16"/>
          <w:szCs w:val="16"/>
        </w:rPr>
        <w:t>eSolutions</w:t>
      </w:r>
      <w:proofErr w:type="spellEnd"/>
      <w:r w:rsidRPr="00392643">
        <w:rPr>
          <w:rFonts w:ascii="Maax" w:hAnsi="Maax"/>
          <w:color w:val="595959"/>
          <w:sz w:val="16"/>
          <w:szCs w:val="16"/>
        </w:rPr>
        <w:t xml:space="preserve"> è una joint venture tra </w:t>
      </w:r>
      <w:proofErr w:type="spellStart"/>
      <w:r w:rsidRPr="00392643">
        <w:rPr>
          <w:rFonts w:ascii="Maax" w:hAnsi="Maax"/>
          <w:color w:val="595959"/>
          <w:sz w:val="16"/>
          <w:szCs w:val="16"/>
        </w:rPr>
        <w:t>Stellantis</w:t>
      </w:r>
      <w:proofErr w:type="spellEnd"/>
      <w:r w:rsidRPr="00392643">
        <w:rPr>
          <w:rFonts w:ascii="Maax" w:hAnsi="Maax"/>
          <w:color w:val="595959"/>
          <w:sz w:val="16"/>
          <w:szCs w:val="16"/>
        </w:rPr>
        <w:t xml:space="preserve"> </w:t>
      </w:r>
      <w:proofErr w:type="gramStart"/>
      <w:r w:rsidRPr="00392643">
        <w:rPr>
          <w:rFonts w:ascii="Maax" w:hAnsi="Maax"/>
          <w:color w:val="595959"/>
          <w:sz w:val="16"/>
          <w:szCs w:val="16"/>
        </w:rPr>
        <w:t>e</w:t>
      </w:r>
      <w:proofErr w:type="gramEnd"/>
      <w:r w:rsidRPr="00392643">
        <w:rPr>
          <w:rFonts w:ascii="Maax" w:hAnsi="Maax"/>
          <w:color w:val="595959"/>
          <w:sz w:val="16"/>
          <w:szCs w:val="16"/>
        </w:rPr>
        <w:t xml:space="preserve"> </w:t>
      </w:r>
      <w:proofErr w:type="spellStart"/>
      <w:r w:rsidRPr="00392643">
        <w:rPr>
          <w:rFonts w:ascii="Maax" w:hAnsi="Maax"/>
          <w:color w:val="595959"/>
          <w:sz w:val="16"/>
          <w:szCs w:val="16"/>
        </w:rPr>
        <w:t>Engie</w:t>
      </w:r>
      <w:proofErr w:type="spellEnd"/>
      <w:r w:rsidRPr="00392643">
        <w:rPr>
          <w:rFonts w:ascii="Maax" w:hAnsi="Maax"/>
          <w:color w:val="595959"/>
          <w:sz w:val="16"/>
          <w:szCs w:val="16"/>
        </w:rPr>
        <w:t xml:space="preserve"> EPS, che mira a diventare un leader nella progettazione, sviluppo, produzione e distribuzione di prodotti per la mobilità elettrica. In uno spirito di innovazione e come pioniere, l'azienda guiderà la transizione verso nuove forme di mobilità elettrica, per contribuire alla riduzione delle emissioni di CO2.</w:t>
      </w:r>
    </w:p>
    <w:p w14:paraId="216F6AC5" w14:textId="67CF0DA8" w:rsidR="008C24E0" w:rsidRPr="00392643" w:rsidRDefault="008C24E0" w:rsidP="008C24E0">
      <w:pPr>
        <w:ind w:right="78"/>
        <w:jc w:val="both"/>
        <w:rPr>
          <w:rFonts w:ascii="Maax" w:hAnsi="Maax" w:cs="Arial"/>
          <w:color w:val="897AB7"/>
          <w:sz w:val="16"/>
          <w:szCs w:val="16"/>
        </w:rPr>
      </w:pPr>
      <w:r w:rsidRPr="00392643">
        <w:rPr>
          <w:rFonts w:ascii="Maax" w:hAnsi="Maax"/>
          <w:color w:val="595959"/>
          <w:sz w:val="16"/>
          <w:szCs w:val="16"/>
        </w:rPr>
        <w:t xml:space="preserve">Visitate i nostri siti web: </w:t>
      </w:r>
      <w:r w:rsidRPr="00392643">
        <w:rPr>
          <w:rFonts w:ascii="Maax" w:hAnsi="Maax"/>
          <w:b/>
          <w:color w:val="897AB7"/>
          <w:sz w:val="16"/>
          <w:szCs w:val="16"/>
        </w:rPr>
        <w:t>www.free2move.com</w:t>
      </w:r>
      <w:r w:rsidRPr="00392643">
        <w:rPr>
          <w:rFonts w:ascii="Maax" w:hAnsi="Maax"/>
          <w:color w:val="595959"/>
          <w:sz w:val="16"/>
          <w:szCs w:val="16"/>
        </w:rPr>
        <w:t xml:space="preserve">, </w:t>
      </w:r>
      <w:r w:rsidRPr="00392643">
        <w:rPr>
          <w:rFonts w:ascii="Maax" w:hAnsi="Maax"/>
          <w:b/>
          <w:color w:val="897AB7"/>
          <w:sz w:val="16"/>
          <w:szCs w:val="16"/>
        </w:rPr>
        <w:t>www.esolutions.free2move.com/</w:t>
      </w:r>
    </w:p>
    <w:p w14:paraId="03038C8B" w14:textId="77777777" w:rsidR="005B5658" w:rsidRPr="00392643" w:rsidRDefault="005B5658" w:rsidP="005B5658">
      <w:pPr>
        <w:autoSpaceDE w:val="0"/>
        <w:autoSpaceDN w:val="0"/>
        <w:spacing w:after="120"/>
        <w:jc w:val="both"/>
        <w:rPr>
          <w:rFonts w:ascii="Maax" w:hAnsi="Maax" w:cs="Arial"/>
          <w:color w:val="897AB7"/>
          <w:sz w:val="16"/>
          <w:szCs w:val="16"/>
        </w:rPr>
      </w:pPr>
      <w:r w:rsidRPr="00392643">
        <w:rPr>
          <w:rFonts w:ascii="Cambria" w:hAnsi="Cambria" w:cs="Cambria"/>
          <w:i/>
          <w:color w:val="897AB7"/>
          <w:sz w:val="16"/>
          <w:szCs w:val="16"/>
        </w:rPr>
        <w:t> </w:t>
      </w:r>
    </w:p>
    <w:p w14:paraId="3A335643" w14:textId="77777777" w:rsidR="005B5658" w:rsidRPr="00392643" w:rsidRDefault="005B5658" w:rsidP="005B5658">
      <w:pPr>
        <w:autoSpaceDE w:val="0"/>
        <w:autoSpaceDN w:val="0"/>
        <w:spacing w:after="120"/>
        <w:jc w:val="both"/>
        <w:rPr>
          <w:rFonts w:ascii="Maax" w:hAnsi="Maax" w:cs="Arial"/>
          <w:b/>
          <w:color w:val="0EB5F2"/>
          <w:sz w:val="16"/>
          <w:szCs w:val="16"/>
        </w:rPr>
      </w:pPr>
      <w:r w:rsidRPr="00392643">
        <w:rPr>
          <w:rFonts w:ascii="Maax" w:hAnsi="Maax"/>
          <w:b/>
          <w:color w:val="73B967"/>
          <w:sz w:val="16"/>
          <w:szCs w:val="16"/>
        </w:rPr>
        <w:t>CONTATTI</w:t>
      </w:r>
      <w:r w:rsidRPr="00392643">
        <w:rPr>
          <w:rFonts w:ascii="Cambria" w:hAnsi="Cambria" w:cs="Cambria"/>
          <w:b/>
          <w:color w:val="73B967"/>
          <w:sz w:val="16"/>
          <w:szCs w:val="16"/>
        </w:rPr>
        <w:t>     </w:t>
      </w:r>
      <w:r w:rsidRPr="00392643">
        <w:rPr>
          <w:rFonts w:ascii="Maax" w:hAnsi="Maax"/>
          <w:b/>
          <w:color w:val="45C19F"/>
          <w:sz w:val="16"/>
          <w:szCs w:val="16"/>
        </w:rPr>
        <w:t xml:space="preserve"> </w:t>
      </w:r>
      <w:r w:rsidRPr="00392643">
        <w:rPr>
          <w:rFonts w:ascii="Cambria" w:hAnsi="Cambria" w:cs="Cambria"/>
          <w:b/>
          <w:color w:val="45C19F"/>
          <w:sz w:val="16"/>
          <w:szCs w:val="16"/>
        </w:rPr>
        <w:t> </w:t>
      </w:r>
      <w:r w:rsidRPr="00392643">
        <w:rPr>
          <w:rFonts w:ascii="Cambria" w:hAnsi="Cambria" w:cs="Cambria"/>
          <w:b/>
          <w:color w:val="0EB5F2"/>
          <w:sz w:val="16"/>
          <w:szCs w:val="16"/>
        </w:rPr>
        <w:t>                  </w:t>
      </w:r>
      <w:r w:rsidRPr="00392643">
        <w:rPr>
          <w:rFonts w:ascii="Maax" w:hAnsi="Maax"/>
          <w:b/>
          <w:color w:val="0EB5F2"/>
          <w:sz w:val="16"/>
          <w:szCs w:val="16"/>
        </w:rPr>
        <w:t xml:space="preserve"> </w:t>
      </w:r>
    </w:p>
    <w:p w14:paraId="5E8110CC" w14:textId="1100EE9C" w:rsidR="005B5658" w:rsidRPr="00392643" w:rsidRDefault="00842605" w:rsidP="005B5658">
      <w:pPr>
        <w:jc w:val="both"/>
        <w:rPr>
          <w:rFonts w:ascii="Maax" w:hAnsi="Maax"/>
          <w:bCs/>
          <w:color w:val="45C19F"/>
        </w:rPr>
      </w:pPr>
      <w:r w:rsidRPr="00392643">
        <w:rPr>
          <w:rFonts w:ascii="Maax" w:hAnsi="Maax"/>
          <w:b/>
          <w:color w:val="6D6D6D"/>
          <w:sz w:val="16"/>
          <w:szCs w:val="16"/>
        </w:rPr>
        <w:t>Ufficio stampa NHOA:</w:t>
      </w:r>
      <w:r w:rsidRPr="00392643">
        <w:rPr>
          <w:rFonts w:ascii="Maax" w:hAnsi="Maax"/>
          <w:bCs/>
          <w:color w:val="6D6D6D"/>
          <w:sz w:val="16"/>
          <w:szCs w:val="16"/>
        </w:rPr>
        <w:t xml:space="preserve"> Simona Raffaelli, Image Building, +39 02 89011300, </w:t>
      </w:r>
      <w:hyperlink r:id="rId13" w:history="1">
        <w:r w:rsidRPr="00392643">
          <w:rPr>
            <w:rStyle w:val="Collegamentoipertestuale"/>
            <w:rFonts w:ascii="Maax" w:hAnsi="Maax"/>
            <w:color w:val="897AB7"/>
            <w:sz w:val="16"/>
            <w:szCs w:val="16"/>
          </w:rPr>
          <w:t>nhoa@imagebuilding.it</w:t>
        </w:r>
      </w:hyperlink>
      <w:r w:rsidRPr="00392643">
        <w:rPr>
          <w:rFonts w:ascii="Maax" w:hAnsi="Maax"/>
          <w:bCs/>
          <w:color w:val="897AB7"/>
          <w:sz w:val="16"/>
          <w:szCs w:val="16"/>
        </w:rPr>
        <w:t xml:space="preserve"> </w:t>
      </w:r>
      <w:r w:rsidRPr="00392643">
        <w:rPr>
          <w:rFonts w:ascii="Maax" w:hAnsi="Maax"/>
          <w:bCs/>
          <w:color w:val="897AB7"/>
        </w:rPr>
        <w:t xml:space="preserve"> </w:t>
      </w:r>
    </w:p>
    <w:p w14:paraId="6BCE8FD7" w14:textId="72A4E21B" w:rsidR="00842605" w:rsidRPr="00392643" w:rsidRDefault="00842605" w:rsidP="00A35AA0">
      <w:pPr>
        <w:rPr>
          <w:rFonts w:ascii="Maax" w:hAnsi="Maax" w:cs="Arial"/>
          <w:color w:val="897AB7"/>
          <w:sz w:val="16"/>
          <w:szCs w:val="16"/>
        </w:rPr>
      </w:pPr>
      <w:r w:rsidRPr="00392643">
        <w:rPr>
          <w:rFonts w:ascii="Maax" w:hAnsi="Maax"/>
          <w:b/>
          <w:color w:val="6D6D6D"/>
          <w:sz w:val="16"/>
          <w:szCs w:val="16"/>
        </w:rPr>
        <w:t>Relazioni Istituzionali &amp; Investitori NHOA:</w:t>
      </w:r>
      <w:r w:rsidRPr="00392643">
        <w:rPr>
          <w:rFonts w:ascii="Maax" w:hAnsi="Maax"/>
          <w:bCs/>
          <w:sz w:val="16"/>
          <w:szCs w:val="16"/>
        </w:rPr>
        <w:t xml:space="preserve"> </w:t>
      </w:r>
      <w:r w:rsidRPr="00392643">
        <w:rPr>
          <w:rFonts w:ascii="Maax" w:hAnsi="Maax"/>
          <w:bCs/>
          <w:color w:val="6D6D6D"/>
          <w:sz w:val="16"/>
          <w:szCs w:val="16"/>
        </w:rPr>
        <w:t xml:space="preserve">Cristina Cremonesi, +39 345 570 8686, </w:t>
      </w:r>
      <w:r w:rsidRPr="00392643">
        <w:rPr>
          <w:rFonts w:ascii="Maax" w:hAnsi="Maax"/>
          <w:color w:val="45C19F"/>
          <w:sz w:val="16"/>
          <w:szCs w:val="16"/>
        </w:rPr>
        <w:t xml:space="preserve"> </w:t>
      </w:r>
      <w:hyperlink r:id="rId14" w:history="1">
        <w:r w:rsidRPr="00392643">
          <w:rPr>
            <w:rStyle w:val="Collegamentoipertestuale"/>
            <w:rFonts w:ascii="Maax" w:hAnsi="Maax"/>
            <w:color w:val="897AB7"/>
            <w:sz w:val="16"/>
            <w:szCs w:val="16"/>
          </w:rPr>
          <w:t>ir@nhoa.energy</w:t>
        </w:r>
      </w:hyperlink>
    </w:p>
    <w:p w14:paraId="6D10FC1D" w14:textId="19CB68E1" w:rsidR="00E614B0" w:rsidRPr="00392643" w:rsidRDefault="00842605" w:rsidP="00E614B0">
      <w:pPr>
        <w:rPr>
          <w:rFonts w:ascii="Maax" w:hAnsi="Maax" w:cs="Arial"/>
          <w:sz w:val="16"/>
          <w:szCs w:val="16"/>
        </w:rPr>
      </w:pPr>
      <w:r w:rsidRPr="00392643">
        <w:rPr>
          <w:rFonts w:ascii="Maax" w:hAnsi="Maax"/>
          <w:b/>
          <w:color w:val="6D6D6D"/>
          <w:sz w:val="16"/>
          <w:szCs w:val="16"/>
        </w:rPr>
        <w:t xml:space="preserve">Ufficio stampa Free2Move: </w:t>
      </w:r>
      <w:r w:rsidRPr="00392643">
        <w:rPr>
          <w:rFonts w:ascii="Maax" w:hAnsi="Maax"/>
          <w:bCs/>
          <w:color w:val="6D6D6D"/>
          <w:sz w:val="16"/>
          <w:szCs w:val="16"/>
        </w:rPr>
        <w:t>Marco Belletti, +39 334 6004837</w:t>
      </w:r>
      <w:r w:rsidRPr="00392643">
        <w:rPr>
          <w:rFonts w:ascii="Maax" w:hAnsi="Maax"/>
          <w:sz w:val="16"/>
          <w:szCs w:val="16"/>
        </w:rPr>
        <w:t xml:space="preserve">, </w:t>
      </w:r>
      <w:hyperlink r:id="rId15" w:history="1">
        <w:r w:rsidRPr="00392643">
          <w:rPr>
            <w:rStyle w:val="Collegamentoipertestuale"/>
            <w:rFonts w:ascii="Maax" w:hAnsi="Maax"/>
            <w:color w:val="897AB7"/>
            <w:sz w:val="16"/>
            <w:szCs w:val="16"/>
          </w:rPr>
          <w:t>marco.belletti@f2m-esolutions.com</w:t>
        </w:r>
      </w:hyperlink>
      <w:r w:rsidR="00E614B0" w:rsidRPr="00392643">
        <w:rPr>
          <w:rFonts w:ascii="Maax" w:hAnsi="Maax"/>
        </w:rPr>
        <w:fldChar w:fldCharType="begin"/>
      </w:r>
      <w:r w:rsidR="007E0C9E" w:rsidRPr="00392643">
        <w:rPr>
          <w:rFonts w:ascii="Maax" w:hAnsi="Maax"/>
        </w:rPr>
        <w:instrText xml:space="preserve"> INCLUDEPICTURE "C:\\var\\folders\\qb\\xjzxp5bj3lxgwqjkhb97ctnh0000gp\\T\\com.microsoft.Word\\WebArchiveCopyPasteTempFiles\\Instagram-logo.png" \* MERGEFORMAT </w:instrText>
      </w:r>
      <w:r w:rsidR="00E614B0" w:rsidRPr="00392643">
        <w:rPr>
          <w:rFonts w:ascii="Maax" w:hAnsi="Maax"/>
        </w:rPr>
        <w:fldChar w:fldCharType="end"/>
      </w:r>
    </w:p>
    <w:p w14:paraId="186E4564" w14:textId="15A72B49" w:rsidR="005B5658" w:rsidRPr="00392643" w:rsidRDefault="005B5658" w:rsidP="005B5658">
      <w:pPr>
        <w:autoSpaceDE w:val="0"/>
        <w:autoSpaceDN w:val="0"/>
        <w:jc w:val="both"/>
        <w:rPr>
          <w:rFonts w:ascii="Maax" w:hAnsi="Maax" w:cs="Arial"/>
          <w:sz w:val="16"/>
          <w:szCs w:val="16"/>
        </w:rPr>
      </w:pPr>
    </w:p>
    <w:p w14:paraId="5968DAA7" w14:textId="5279BA5B" w:rsidR="005B5658" w:rsidRPr="00392643" w:rsidRDefault="00FC1D7F" w:rsidP="005B5658">
      <w:pPr>
        <w:spacing w:before="120" w:after="120" w:line="288" w:lineRule="auto"/>
        <w:rPr>
          <w:rStyle w:val="Collegamentoipertestuale"/>
          <w:rFonts w:ascii="Maax" w:hAnsi="Maax" w:cs="Arial"/>
          <w:color w:val="897AB7"/>
          <w:sz w:val="16"/>
          <w:szCs w:val="16"/>
        </w:rPr>
      </w:pPr>
      <w:r w:rsidRPr="00392643">
        <w:rPr>
          <w:rFonts w:ascii="Maax" w:hAnsi="Maax"/>
          <w:noProof/>
          <w:sz w:val="20"/>
          <w:szCs w:val="20"/>
          <w:lang w:eastAsia="it-IT"/>
        </w:rPr>
        <w:drawing>
          <wp:anchor distT="0" distB="0" distL="114300" distR="114300" simplePos="0" relativeHeight="251658241" behindDoc="0" locked="0" layoutInCell="1" allowOverlap="1" wp14:anchorId="2F2800DD" wp14:editId="604105CE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252095" cy="251460"/>
            <wp:effectExtent l="0" t="0" r="1905" b="571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 rotWithShape="1">
                    <a:blip r:embed="rId16"/>
                    <a:srcRect l="22124" r="21560"/>
                    <a:stretch/>
                  </pic:blipFill>
                  <pic:spPr bwMode="auto">
                    <a:xfrm>
                      <a:off x="0" y="0"/>
                      <a:ext cx="252095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Pr="00392643">
          <w:rPr>
            <w:rStyle w:val="Collegamentoipertestuale"/>
            <w:rFonts w:ascii="Maax" w:hAnsi="Maax"/>
            <w:color w:val="897AB7"/>
            <w:sz w:val="16"/>
            <w:szCs w:val="16"/>
          </w:rPr>
          <w:t>seguici su LinkedIn</w:t>
        </w:r>
      </w:hyperlink>
    </w:p>
    <w:p w14:paraId="7BA060E5" w14:textId="3DC8326C" w:rsidR="00E614B0" w:rsidRPr="00392643" w:rsidRDefault="00E614B0" w:rsidP="00E614B0">
      <w:pPr>
        <w:rPr>
          <w:rFonts w:ascii="Maax" w:hAnsi="Maax"/>
          <w:color w:val="897AB7"/>
        </w:rPr>
      </w:pPr>
      <w:r w:rsidRPr="00392643">
        <w:rPr>
          <w:rFonts w:ascii="Maax" w:hAnsi="Maax"/>
          <w:noProof/>
          <w:color w:val="897AB7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52112ADF" wp14:editId="5A3DED00">
            <wp:simplePos x="0" y="0"/>
            <wp:positionH relativeFrom="column">
              <wp:posOffset>635</wp:posOffset>
            </wp:positionH>
            <wp:positionV relativeFrom="paragraph">
              <wp:posOffset>27305</wp:posOffset>
            </wp:positionV>
            <wp:extent cx="251460" cy="236220"/>
            <wp:effectExtent l="0" t="0" r="2540" b="508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18"/>
                    <a:srcRect l="19807" r="20250"/>
                    <a:stretch/>
                  </pic:blipFill>
                  <pic:spPr bwMode="auto">
                    <a:xfrm>
                      <a:off x="0" y="0"/>
                      <a:ext cx="251460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Pr="00392643">
          <w:rPr>
            <w:rStyle w:val="Collegamentoipertestuale"/>
            <w:rFonts w:ascii="Maax" w:hAnsi="Maax"/>
            <w:color w:val="897AB7"/>
            <w:sz w:val="16"/>
            <w:szCs w:val="16"/>
          </w:rPr>
          <w:t>seguici su Instagram</w:t>
        </w:r>
      </w:hyperlink>
      <w:r w:rsidRPr="00392643">
        <w:rPr>
          <w:rFonts w:ascii="Maax" w:hAnsi="Maax"/>
          <w:color w:val="897AB7"/>
        </w:rPr>
        <w:fldChar w:fldCharType="begin"/>
      </w:r>
      <w:r w:rsidR="007E0C9E" w:rsidRPr="00392643">
        <w:rPr>
          <w:rFonts w:ascii="Maax" w:hAnsi="Maax"/>
          <w:color w:val="897AB7"/>
        </w:rPr>
        <w:instrText xml:space="preserve"> INCLUDEPICTURE "C:\\var\\folders\\qb\\xjzxp5bj3lxgwqjkhb97ctnh0000gp\\T\\com.microsoft.Word\\WebArchiveCopyPasteTempFiles\\1200px-Instagram_logo_2016.svg.png" \* MERGEFORMAT </w:instrText>
      </w:r>
      <w:r w:rsidRPr="00392643">
        <w:rPr>
          <w:rFonts w:ascii="Maax" w:hAnsi="Maax"/>
          <w:color w:val="897AB7"/>
        </w:rPr>
        <w:fldChar w:fldCharType="end"/>
      </w:r>
    </w:p>
    <w:p w14:paraId="78DC185D" w14:textId="6EA81739" w:rsidR="00DD4BB3" w:rsidRPr="00392643" w:rsidRDefault="00DD4BB3" w:rsidP="00A67743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</w:p>
    <w:p w14:paraId="3587FB59" w14:textId="77777777" w:rsidR="00B9285F" w:rsidRPr="00392643" w:rsidRDefault="00B9285F" w:rsidP="00B9285F">
      <w:pPr>
        <w:spacing w:after="120" w:line="288" w:lineRule="auto"/>
        <w:jc w:val="both"/>
        <w:rPr>
          <w:rFonts w:ascii="Maax" w:hAnsi="Maax" w:cs="Arial"/>
          <w:sz w:val="20"/>
          <w:szCs w:val="20"/>
        </w:rPr>
      </w:pPr>
    </w:p>
    <w:sectPr w:rsidR="00B9285F" w:rsidRPr="00392643" w:rsidSect="00822F43">
      <w:headerReference w:type="default" r:id="rId20"/>
      <w:footerReference w:type="even" r:id="rId21"/>
      <w:footerReference w:type="default" r:id="rId22"/>
      <w:pgSz w:w="11906" w:h="16838"/>
      <w:pgMar w:top="20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23F8" w14:textId="77777777" w:rsidR="0039369E" w:rsidRDefault="0039369E" w:rsidP="00937FC1">
      <w:r>
        <w:separator/>
      </w:r>
    </w:p>
  </w:endnote>
  <w:endnote w:type="continuationSeparator" w:id="0">
    <w:p w14:paraId="6FF54921" w14:textId="77777777" w:rsidR="0039369E" w:rsidRDefault="0039369E" w:rsidP="00937FC1">
      <w:r>
        <w:continuationSeparator/>
      </w:r>
    </w:p>
  </w:endnote>
  <w:endnote w:type="continuationNotice" w:id="1">
    <w:p w14:paraId="0E5417E5" w14:textId="77777777" w:rsidR="0039369E" w:rsidRDefault="00393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ax">
    <w:altName w:val="Maax"/>
    <w:panose1 w:val="02000506000000020003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2618339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4CA462C" w14:textId="56AAB139" w:rsidR="000426F9" w:rsidRDefault="000426F9" w:rsidP="009E27F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C5D9F">
          <w:rPr>
            <w:rStyle w:val="Numeropagina"/>
          </w:rPr>
          <w:t>1</w:t>
        </w:r>
        <w:r>
          <w:rPr>
            <w:rStyle w:val="Numeropagina"/>
          </w:rPr>
          <w:fldChar w:fldCharType="end"/>
        </w:r>
      </w:p>
    </w:sdtContent>
  </w:sdt>
  <w:p w14:paraId="1972D10B" w14:textId="77777777" w:rsidR="000426F9" w:rsidRDefault="000426F9" w:rsidP="000426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856130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B8898A3" w14:textId="647841E4" w:rsidR="000426F9" w:rsidRDefault="000426F9" w:rsidP="009E27F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A7D1D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79603971" w14:textId="77777777" w:rsidR="000426F9" w:rsidRDefault="000426F9" w:rsidP="000426F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5A79" w14:textId="77777777" w:rsidR="0039369E" w:rsidRDefault="0039369E" w:rsidP="00937FC1">
      <w:r>
        <w:separator/>
      </w:r>
    </w:p>
  </w:footnote>
  <w:footnote w:type="continuationSeparator" w:id="0">
    <w:p w14:paraId="7AC8C4BE" w14:textId="77777777" w:rsidR="0039369E" w:rsidRDefault="0039369E" w:rsidP="00937FC1">
      <w:r>
        <w:continuationSeparator/>
      </w:r>
    </w:p>
  </w:footnote>
  <w:footnote w:type="continuationNotice" w:id="1">
    <w:p w14:paraId="7EF66A6E" w14:textId="77777777" w:rsidR="0039369E" w:rsidRDefault="003936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BBCC" w14:textId="6EB59670" w:rsidR="006E10B9" w:rsidRPr="00392643" w:rsidRDefault="005A747E" w:rsidP="005A747E">
    <w:pPr>
      <w:pStyle w:val="Intestazione"/>
      <w:jc w:val="center"/>
      <w:rPr>
        <w:rFonts w:ascii="Arial" w:hAnsi="Arial" w:cs="Arial"/>
        <w:b/>
        <w:bCs/>
        <w:color w:val="383836"/>
        <w:sz w:val="20"/>
        <w:szCs w:val="20"/>
      </w:rPr>
    </w:pPr>
    <w:r w:rsidRPr="00392643">
      <w:rPr>
        <w:rFonts w:ascii="Arial" w:hAnsi="Arial"/>
        <w:b/>
        <w:bCs/>
        <w:noProof/>
        <w:color w:val="383836"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260AEAD7" wp14:editId="5D105F12">
          <wp:simplePos x="0" y="0"/>
          <wp:positionH relativeFrom="column">
            <wp:posOffset>-205740</wp:posOffset>
          </wp:positionH>
          <wp:positionV relativeFrom="paragraph">
            <wp:posOffset>-59153</wp:posOffset>
          </wp:positionV>
          <wp:extent cx="1664095" cy="53836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22" t="38795" r="17211" b="39815"/>
                  <a:stretch/>
                </pic:blipFill>
                <pic:spPr bwMode="auto">
                  <a:xfrm>
                    <a:off x="0" y="0"/>
                    <a:ext cx="1664095" cy="53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643">
      <w:rPr>
        <w:rFonts w:ascii="Arial" w:hAnsi="Arial"/>
        <w:b/>
        <w:bCs/>
        <w:noProof/>
        <w:color w:val="383836"/>
        <w:sz w:val="20"/>
        <w:szCs w:val="20"/>
        <w:lang w:eastAsia="it-IT"/>
      </w:rPr>
      <w:drawing>
        <wp:anchor distT="0" distB="0" distL="114300" distR="114300" simplePos="0" relativeHeight="251658241" behindDoc="0" locked="0" layoutInCell="1" allowOverlap="1" wp14:anchorId="6874D98B" wp14:editId="3CC214E2">
          <wp:simplePos x="0" y="0"/>
          <wp:positionH relativeFrom="column">
            <wp:posOffset>4852767</wp:posOffset>
          </wp:positionH>
          <wp:positionV relativeFrom="paragraph">
            <wp:posOffset>-235683</wp:posOffset>
          </wp:positionV>
          <wp:extent cx="1266705" cy="91484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705" cy="914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643">
      <w:rPr>
        <w:rFonts w:ascii="Arial" w:hAnsi="Arial"/>
        <w:b/>
        <w:bCs/>
        <w:color w:val="383836"/>
        <w:sz w:val="20"/>
        <w:szCs w:val="20"/>
      </w:rPr>
      <w:t>COMUNICATO STAMPA</w:t>
    </w:r>
  </w:p>
  <w:p w14:paraId="6C9D028D" w14:textId="0C5372A8" w:rsidR="005C5D9F" w:rsidRPr="00BF523F" w:rsidRDefault="005C5D9F" w:rsidP="00E33CE6">
    <w:pPr>
      <w:pStyle w:val="Intestazione"/>
      <w:jc w:val="center"/>
      <w:rPr>
        <w:rFonts w:ascii="Arial" w:hAnsi="Arial" w:cs="Arial"/>
        <w:b/>
        <w:bCs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EFB"/>
    <w:multiLevelType w:val="hybridMultilevel"/>
    <w:tmpl w:val="5F500882"/>
    <w:lvl w:ilvl="0" w:tplc="879E3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9FE"/>
    <w:multiLevelType w:val="hybridMultilevel"/>
    <w:tmpl w:val="F11697E8"/>
    <w:lvl w:ilvl="0" w:tplc="2808376A">
      <w:start w:val="1"/>
      <w:numFmt w:val="decimal"/>
      <w:lvlText w:val="(%1)"/>
      <w:lvlJc w:val="left"/>
      <w:pPr>
        <w:ind w:left="676" w:hanging="360"/>
      </w:pPr>
      <w:rPr>
        <w:rFonts w:hint="default"/>
        <w:color w:val="111111"/>
        <w:w w:val="100"/>
        <w:sz w:val="18"/>
        <w:szCs w:val="18"/>
        <w:lang w:val="en-US" w:eastAsia="en-US" w:bidi="ar-SA"/>
      </w:rPr>
    </w:lvl>
    <w:lvl w:ilvl="1" w:tplc="2AEABA4E">
      <w:numFmt w:val="bullet"/>
      <w:lvlText w:val="•"/>
      <w:lvlJc w:val="left"/>
      <w:pPr>
        <w:ind w:left="1322" w:hanging="286"/>
      </w:pPr>
      <w:rPr>
        <w:rFonts w:ascii="Arial" w:eastAsia="Arial" w:hAnsi="Arial" w:cs="Arial" w:hint="default"/>
        <w:color w:val="111111"/>
        <w:w w:val="100"/>
        <w:sz w:val="18"/>
        <w:szCs w:val="18"/>
        <w:lang w:val="en-US" w:eastAsia="en-US" w:bidi="ar-SA"/>
      </w:rPr>
    </w:lvl>
    <w:lvl w:ilvl="2" w:tplc="E0EC7D86">
      <w:numFmt w:val="bullet"/>
      <w:lvlText w:val="•"/>
      <w:lvlJc w:val="left"/>
      <w:pPr>
        <w:ind w:left="2287" w:hanging="286"/>
      </w:pPr>
      <w:rPr>
        <w:rFonts w:hint="default"/>
        <w:lang w:val="en-US" w:eastAsia="en-US" w:bidi="ar-SA"/>
      </w:rPr>
    </w:lvl>
    <w:lvl w:ilvl="3" w:tplc="17D46CCE">
      <w:numFmt w:val="bullet"/>
      <w:lvlText w:val="•"/>
      <w:lvlJc w:val="left"/>
      <w:pPr>
        <w:ind w:left="3254" w:hanging="286"/>
      </w:pPr>
      <w:rPr>
        <w:rFonts w:hint="default"/>
        <w:lang w:val="en-US" w:eastAsia="en-US" w:bidi="ar-SA"/>
      </w:rPr>
    </w:lvl>
    <w:lvl w:ilvl="4" w:tplc="9E245E0E">
      <w:numFmt w:val="bullet"/>
      <w:lvlText w:val="•"/>
      <w:lvlJc w:val="left"/>
      <w:pPr>
        <w:ind w:left="4221" w:hanging="286"/>
      </w:pPr>
      <w:rPr>
        <w:rFonts w:hint="default"/>
        <w:lang w:val="en-US" w:eastAsia="en-US" w:bidi="ar-SA"/>
      </w:rPr>
    </w:lvl>
    <w:lvl w:ilvl="5" w:tplc="C0F6521E">
      <w:numFmt w:val="bullet"/>
      <w:lvlText w:val="•"/>
      <w:lvlJc w:val="left"/>
      <w:pPr>
        <w:ind w:left="5188" w:hanging="286"/>
      </w:pPr>
      <w:rPr>
        <w:rFonts w:hint="default"/>
        <w:lang w:val="en-US" w:eastAsia="en-US" w:bidi="ar-SA"/>
      </w:rPr>
    </w:lvl>
    <w:lvl w:ilvl="6" w:tplc="BF12A6A8">
      <w:numFmt w:val="bullet"/>
      <w:lvlText w:val="•"/>
      <w:lvlJc w:val="left"/>
      <w:pPr>
        <w:ind w:left="6156" w:hanging="286"/>
      </w:pPr>
      <w:rPr>
        <w:rFonts w:hint="default"/>
        <w:lang w:val="en-US" w:eastAsia="en-US" w:bidi="ar-SA"/>
      </w:rPr>
    </w:lvl>
    <w:lvl w:ilvl="7" w:tplc="F84E4E52">
      <w:numFmt w:val="bullet"/>
      <w:lvlText w:val="•"/>
      <w:lvlJc w:val="left"/>
      <w:pPr>
        <w:ind w:left="7123" w:hanging="286"/>
      </w:pPr>
      <w:rPr>
        <w:rFonts w:hint="default"/>
        <w:lang w:val="en-US" w:eastAsia="en-US" w:bidi="ar-SA"/>
      </w:rPr>
    </w:lvl>
    <w:lvl w:ilvl="8" w:tplc="227E8238">
      <w:numFmt w:val="bullet"/>
      <w:lvlText w:val="•"/>
      <w:lvlJc w:val="left"/>
      <w:pPr>
        <w:ind w:left="8090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09025230"/>
    <w:multiLevelType w:val="hybridMultilevel"/>
    <w:tmpl w:val="15D631E0"/>
    <w:lvl w:ilvl="0" w:tplc="B558743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90945"/>
    <w:multiLevelType w:val="hybridMultilevel"/>
    <w:tmpl w:val="355464D8"/>
    <w:lvl w:ilvl="0" w:tplc="43AA6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B967"/>
        <w:sz w:val="20"/>
        <w:u w:color="45C19F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E4B0A"/>
    <w:multiLevelType w:val="hybridMultilevel"/>
    <w:tmpl w:val="859061DC"/>
    <w:lvl w:ilvl="0" w:tplc="4AA05752">
      <w:numFmt w:val="bullet"/>
      <w:lvlText w:val="•"/>
      <w:lvlJc w:val="left"/>
      <w:pPr>
        <w:ind w:left="602" w:hanging="286"/>
      </w:pPr>
      <w:rPr>
        <w:rFonts w:ascii="Arial" w:eastAsia="Arial" w:hAnsi="Arial" w:cs="Arial" w:hint="default"/>
        <w:color w:val="111111"/>
        <w:w w:val="100"/>
        <w:sz w:val="18"/>
        <w:szCs w:val="18"/>
        <w:lang w:val="en-US" w:eastAsia="en-US" w:bidi="ar-SA"/>
      </w:rPr>
    </w:lvl>
    <w:lvl w:ilvl="1" w:tplc="29B4558C">
      <w:start w:val="1"/>
      <w:numFmt w:val="bullet"/>
      <w:lvlText w:val="-"/>
      <w:lvlJc w:val="left"/>
      <w:pPr>
        <w:ind w:left="1396" w:hanging="360"/>
      </w:pPr>
      <w:rPr>
        <w:rFonts w:ascii="Arial" w:eastAsiaTheme="minorHAnsi" w:hAnsi="Arial" w:cs="Arial" w:hint="default"/>
        <w:color w:val="111111"/>
        <w:w w:val="100"/>
        <w:sz w:val="18"/>
        <w:szCs w:val="18"/>
        <w:lang w:val="en-US" w:eastAsia="en-US" w:bidi="ar-SA"/>
      </w:rPr>
    </w:lvl>
    <w:lvl w:ilvl="2" w:tplc="E0EC7D86">
      <w:numFmt w:val="bullet"/>
      <w:lvlText w:val="•"/>
      <w:lvlJc w:val="left"/>
      <w:pPr>
        <w:ind w:left="2287" w:hanging="286"/>
      </w:pPr>
      <w:rPr>
        <w:rFonts w:hint="default"/>
        <w:lang w:val="en-US" w:eastAsia="en-US" w:bidi="ar-SA"/>
      </w:rPr>
    </w:lvl>
    <w:lvl w:ilvl="3" w:tplc="17D46CCE">
      <w:numFmt w:val="bullet"/>
      <w:lvlText w:val="•"/>
      <w:lvlJc w:val="left"/>
      <w:pPr>
        <w:ind w:left="3254" w:hanging="286"/>
      </w:pPr>
      <w:rPr>
        <w:rFonts w:hint="default"/>
        <w:lang w:val="en-US" w:eastAsia="en-US" w:bidi="ar-SA"/>
      </w:rPr>
    </w:lvl>
    <w:lvl w:ilvl="4" w:tplc="9E245E0E">
      <w:numFmt w:val="bullet"/>
      <w:lvlText w:val="•"/>
      <w:lvlJc w:val="left"/>
      <w:pPr>
        <w:ind w:left="4221" w:hanging="286"/>
      </w:pPr>
      <w:rPr>
        <w:rFonts w:hint="default"/>
        <w:lang w:val="en-US" w:eastAsia="en-US" w:bidi="ar-SA"/>
      </w:rPr>
    </w:lvl>
    <w:lvl w:ilvl="5" w:tplc="C0F6521E">
      <w:numFmt w:val="bullet"/>
      <w:lvlText w:val="•"/>
      <w:lvlJc w:val="left"/>
      <w:pPr>
        <w:ind w:left="5188" w:hanging="286"/>
      </w:pPr>
      <w:rPr>
        <w:rFonts w:hint="default"/>
        <w:lang w:val="en-US" w:eastAsia="en-US" w:bidi="ar-SA"/>
      </w:rPr>
    </w:lvl>
    <w:lvl w:ilvl="6" w:tplc="BF12A6A8">
      <w:numFmt w:val="bullet"/>
      <w:lvlText w:val="•"/>
      <w:lvlJc w:val="left"/>
      <w:pPr>
        <w:ind w:left="6156" w:hanging="286"/>
      </w:pPr>
      <w:rPr>
        <w:rFonts w:hint="default"/>
        <w:lang w:val="en-US" w:eastAsia="en-US" w:bidi="ar-SA"/>
      </w:rPr>
    </w:lvl>
    <w:lvl w:ilvl="7" w:tplc="F84E4E52">
      <w:numFmt w:val="bullet"/>
      <w:lvlText w:val="•"/>
      <w:lvlJc w:val="left"/>
      <w:pPr>
        <w:ind w:left="7123" w:hanging="286"/>
      </w:pPr>
      <w:rPr>
        <w:rFonts w:hint="default"/>
        <w:lang w:val="en-US" w:eastAsia="en-US" w:bidi="ar-SA"/>
      </w:rPr>
    </w:lvl>
    <w:lvl w:ilvl="8" w:tplc="227E8238">
      <w:numFmt w:val="bullet"/>
      <w:lvlText w:val="•"/>
      <w:lvlJc w:val="left"/>
      <w:pPr>
        <w:ind w:left="8090" w:hanging="28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oNotTrackMoves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BE"/>
    <w:rsid w:val="000001F1"/>
    <w:rsid w:val="00000EE5"/>
    <w:rsid w:val="0000316B"/>
    <w:rsid w:val="00004385"/>
    <w:rsid w:val="00007059"/>
    <w:rsid w:val="0000793E"/>
    <w:rsid w:val="000105B9"/>
    <w:rsid w:val="0001489F"/>
    <w:rsid w:val="000158E9"/>
    <w:rsid w:val="00015A51"/>
    <w:rsid w:val="00015D48"/>
    <w:rsid w:val="000200FD"/>
    <w:rsid w:val="000218DC"/>
    <w:rsid w:val="00025C3B"/>
    <w:rsid w:val="00025F37"/>
    <w:rsid w:val="00026196"/>
    <w:rsid w:val="000266D2"/>
    <w:rsid w:val="00033510"/>
    <w:rsid w:val="00036F46"/>
    <w:rsid w:val="00037FD5"/>
    <w:rsid w:val="00040772"/>
    <w:rsid w:val="000426F9"/>
    <w:rsid w:val="000441F6"/>
    <w:rsid w:val="000447CF"/>
    <w:rsid w:val="000521BC"/>
    <w:rsid w:val="000554D0"/>
    <w:rsid w:val="00057317"/>
    <w:rsid w:val="0006185D"/>
    <w:rsid w:val="00065965"/>
    <w:rsid w:val="00067251"/>
    <w:rsid w:val="00067854"/>
    <w:rsid w:val="000678F8"/>
    <w:rsid w:val="00071795"/>
    <w:rsid w:val="000803D6"/>
    <w:rsid w:val="000806B8"/>
    <w:rsid w:val="000822B8"/>
    <w:rsid w:val="0008284E"/>
    <w:rsid w:val="000836BC"/>
    <w:rsid w:val="0008491C"/>
    <w:rsid w:val="00085A23"/>
    <w:rsid w:val="00085C25"/>
    <w:rsid w:val="00085FA9"/>
    <w:rsid w:val="00086418"/>
    <w:rsid w:val="00086945"/>
    <w:rsid w:val="00093BBA"/>
    <w:rsid w:val="00095779"/>
    <w:rsid w:val="000A0B9D"/>
    <w:rsid w:val="000A0F7B"/>
    <w:rsid w:val="000A132E"/>
    <w:rsid w:val="000A3316"/>
    <w:rsid w:val="000A4DCE"/>
    <w:rsid w:val="000A53BB"/>
    <w:rsid w:val="000A5FFE"/>
    <w:rsid w:val="000B2DFB"/>
    <w:rsid w:val="000B51BA"/>
    <w:rsid w:val="000B5F69"/>
    <w:rsid w:val="000C077F"/>
    <w:rsid w:val="000C0FDD"/>
    <w:rsid w:val="000C474B"/>
    <w:rsid w:val="000C47F3"/>
    <w:rsid w:val="000C6F81"/>
    <w:rsid w:val="000D21E2"/>
    <w:rsid w:val="000D364F"/>
    <w:rsid w:val="000D37CB"/>
    <w:rsid w:val="000D544A"/>
    <w:rsid w:val="000E0BB1"/>
    <w:rsid w:val="000E20FB"/>
    <w:rsid w:val="000E57FE"/>
    <w:rsid w:val="000E602A"/>
    <w:rsid w:val="000F6A74"/>
    <w:rsid w:val="000F6CE3"/>
    <w:rsid w:val="000F79ED"/>
    <w:rsid w:val="00105954"/>
    <w:rsid w:val="00106D84"/>
    <w:rsid w:val="001108B7"/>
    <w:rsid w:val="00110F61"/>
    <w:rsid w:val="001116A3"/>
    <w:rsid w:val="00115ECB"/>
    <w:rsid w:val="001211D4"/>
    <w:rsid w:val="00121519"/>
    <w:rsid w:val="001251ED"/>
    <w:rsid w:val="0012527F"/>
    <w:rsid w:val="0013058C"/>
    <w:rsid w:val="00130726"/>
    <w:rsid w:val="0013174B"/>
    <w:rsid w:val="00131AFB"/>
    <w:rsid w:val="00132AA1"/>
    <w:rsid w:val="001357FD"/>
    <w:rsid w:val="00135A1F"/>
    <w:rsid w:val="00135D94"/>
    <w:rsid w:val="001370F5"/>
    <w:rsid w:val="00137E0B"/>
    <w:rsid w:val="00141D36"/>
    <w:rsid w:val="00142F6F"/>
    <w:rsid w:val="001474D8"/>
    <w:rsid w:val="001502DF"/>
    <w:rsid w:val="00151C31"/>
    <w:rsid w:val="001520A0"/>
    <w:rsid w:val="00153F82"/>
    <w:rsid w:val="0016167F"/>
    <w:rsid w:val="0016238C"/>
    <w:rsid w:val="00164A0E"/>
    <w:rsid w:val="00167D47"/>
    <w:rsid w:val="001736ED"/>
    <w:rsid w:val="00174528"/>
    <w:rsid w:val="00177E0B"/>
    <w:rsid w:val="001804B8"/>
    <w:rsid w:val="00181AD8"/>
    <w:rsid w:val="00182D1E"/>
    <w:rsid w:val="00183385"/>
    <w:rsid w:val="001838B6"/>
    <w:rsid w:val="0018788C"/>
    <w:rsid w:val="00190625"/>
    <w:rsid w:val="0019170B"/>
    <w:rsid w:val="001931B5"/>
    <w:rsid w:val="0019547E"/>
    <w:rsid w:val="00197A33"/>
    <w:rsid w:val="001A2F94"/>
    <w:rsid w:val="001A6E29"/>
    <w:rsid w:val="001A6E98"/>
    <w:rsid w:val="001B05D3"/>
    <w:rsid w:val="001B18E4"/>
    <w:rsid w:val="001B3848"/>
    <w:rsid w:val="001B5E4D"/>
    <w:rsid w:val="001B6426"/>
    <w:rsid w:val="001B64E7"/>
    <w:rsid w:val="001B6861"/>
    <w:rsid w:val="001B7B2E"/>
    <w:rsid w:val="001C1E8A"/>
    <w:rsid w:val="001C4987"/>
    <w:rsid w:val="001C601A"/>
    <w:rsid w:val="001C693D"/>
    <w:rsid w:val="001C70DB"/>
    <w:rsid w:val="001D02E8"/>
    <w:rsid w:val="001D08EB"/>
    <w:rsid w:val="001D370E"/>
    <w:rsid w:val="001D5B87"/>
    <w:rsid w:val="001E3863"/>
    <w:rsid w:val="001E39B5"/>
    <w:rsid w:val="001E6CDE"/>
    <w:rsid w:val="001F0CCC"/>
    <w:rsid w:val="002022C2"/>
    <w:rsid w:val="00202AE8"/>
    <w:rsid w:val="00204533"/>
    <w:rsid w:val="00206131"/>
    <w:rsid w:val="00210813"/>
    <w:rsid w:val="0021435B"/>
    <w:rsid w:val="00217DF9"/>
    <w:rsid w:val="002229E9"/>
    <w:rsid w:val="00226877"/>
    <w:rsid w:val="00227768"/>
    <w:rsid w:val="002312C9"/>
    <w:rsid w:val="002323B4"/>
    <w:rsid w:val="00233DBE"/>
    <w:rsid w:val="00234867"/>
    <w:rsid w:val="00237DE8"/>
    <w:rsid w:val="00241DFA"/>
    <w:rsid w:val="0024410C"/>
    <w:rsid w:val="0024417B"/>
    <w:rsid w:val="002470E2"/>
    <w:rsid w:val="00253694"/>
    <w:rsid w:val="00256D5C"/>
    <w:rsid w:val="002611A8"/>
    <w:rsid w:val="00261321"/>
    <w:rsid w:val="002628F5"/>
    <w:rsid w:val="00263D45"/>
    <w:rsid w:val="00266A0A"/>
    <w:rsid w:val="0027247B"/>
    <w:rsid w:val="00280569"/>
    <w:rsid w:val="00280C4F"/>
    <w:rsid w:val="002810DB"/>
    <w:rsid w:val="002827A8"/>
    <w:rsid w:val="002833AB"/>
    <w:rsid w:val="0028391A"/>
    <w:rsid w:val="00286513"/>
    <w:rsid w:val="002868CF"/>
    <w:rsid w:val="002956A0"/>
    <w:rsid w:val="00296AEA"/>
    <w:rsid w:val="00296E5E"/>
    <w:rsid w:val="002973D4"/>
    <w:rsid w:val="002A12BD"/>
    <w:rsid w:val="002B1794"/>
    <w:rsid w:val="002B1BA8"/>
    <w:rsid w:val="002B369C"/>
    <w:rsid w:val="002B3BB5"/>
    <w:rsid w:val="002B516A"/>
    <w:rsid w:val="002B6B4C"/>
    <w:rsid w:val="002B758A"/>
    <w:rsid w:val="002C0E17"/>
    <w:rsid w:val="002C130E"/>
    <w:rsid w:val="002C2D9B"/>
    <w:rsid w:val="002C3036"/>
    <w:rsid w:val="002C32A0"/>
    <w:rsid w:val="002C49A3"/>
    <w:rsid w:val="002D35F1"/>
    <w:rsid w:val="002D4860"/>
    <w:rsid w:val="002D49BC"/>
    <w:rsid w:val="002D6AAE"/>
    <w:rsid w:val="002E04BB"/>
    <w:rsid w:val="002E08C8"/>
    <w:rsid w:val="002F2620"/>
    <w:rsid w:val="002F6F70"/>
    <w:rsid w:val="003009F0"/>
    <w:rsid w:val="00301D06"/>
    <w:rsid w:val="00301DCD"/>
    <w:rsid w:val="003034F3"/>
    <w:rsid w:val="00304A61"/>
    <w:rsid w:val="003079C4"/>
    <w:rsid w:val="00310BD7"/>
    <w:rsid w:val="003135A6"/>
    <w:rsid w:val="00313FA5"/>
    <w:rsid w:val="003177E2"/>
    <w:rsid w:val="003200B4"/>
    <w:rsid w:val="00320533"/>
    <w:rsid w:val="003244A7"/>
    <w:rsid w:val="0032555E"/>
    <w:rsid w:val="003319E5"/>
    <w:rsid w:val="003334D7"/>
    <w:rsid w:val="00333EF5"/>
    <w:rsid w:val="003364CE"/>
    <w:rsid w:val="00336780"/>
    <w:rsid w:val="00342F83"/>
    <w:rsid w:val="00347687"/>
    <w:rsid w:val="00347A49"/>
    <w:rsid w:val="00347DF3"/>
    <w:rsid w:val="00350B18"/>
    <w:rsid w:val="00350F07"/>
    <w:rsid w:val="003540FD"/>
    <w:rsid w:val="00355CE0"/>
    <w:rsid w:val="00355FA0"/>
    <w:rsid w:val="003570F2"/>
    <w:rsid w:val="00360049"/>
    <w:rsid w:val="00360F67"/>
    <w:rsid w:val="00366419"/>
    <w:rsid w:val="00366C0E"/>
    <w:rsid w:val="00371B44"/>
    <w:rsid w:val="00372136"/>
    <w:rsid w:val="00372B5E"/>
    <w:rsid w:val="0037326E"/>
    <w:rsid w:val="00373FB1"/>
    <w:rsid w:val="00376361"/>
    <w:rsid w:val="003770B8"/>
    <w:rsid w:val="0037727D"/>
    <w:rsid w:val="0038287D"/>
    <w:rsid w:val="00382EDB"/>
    <w:rsid w:val="00383589"/>
    <w:rsid w:val="003843F7"/>
    <w:rsid w:val="003853AC"/>
    <w:rsid w:val="00392643"/>
    <w:rsid w:val="00393504"/>
    <w:rsid w:val="0039369E"/>
    <w:rsid w:val="00397B05"/>
    <w:rsid w:val="003A002E"/>
    <w:rsid w:val="003A0754"/>
    <w:rsid w:val="003A1BB0"/>
    <w:rsid w:val="003A2544"/>
    <w:rsid w:val="003A41C7"/>
    <w:rsid w:val="003A52D3"/>
    <w:rsid w:val="003A6900"/>
    <w:rsid w:val="003B57B0"/>
    <w:rsid w:val="003B6409"/>
    <w:rsid w:val="003C01E5"/>
    <w:rsid w:val="003C1367"/>
    <w:rsid w:val="003C3669"/>
    <w:rsid w:val="003C3E33"/>
    <w:rsid w:val="003C5224"/>
    <w:rsid w:val="003C6184"/>
    <w:rsid w:val="003D299B"/>
    <w:rsid w:val="003D3B27"/>
    <w:rsid w:val="003D6FE1"/>
    <w:rsid w:val="003D77D5"/>
    <w:rsid w:val="003D7E01"/>
    <w:rsid w:val="003E5E61"/>
    <w:rsid w:val="003E6610"/>
    <w:rsid w:val="003F57D7"/>
    <w:rsid w:val="003F6260"/>
    <w:rsid w:val="00401736"/>
    <w:rsid w:val="00401F8A"/>
    <w:rsid w:val="00404FDF"/>
    <w:rsid w:val="00405BD0"/>
    <w:rsid w:val="00406777"/>
    <w:rsid w:val="00407730"/>
    <w:rsid w:val="00412154"/>
    <w:rsid w:val="00413A9D"/>
    <w:rsid w:val="00413B1A"/>
    <w:rsid w:val="00414185"/>
    <w:rsid w:val="004147DB"/>
    <w:rsid w:val="00416129"/>
    <w:rsid w:val="004166BC"/>
    <w:rsid w:val="004216DA"/>
    <w:rsid w:val="0042184F"/>
    <w:rsid w:val="00422B57"/>
    <w:rsid w:val="004237E0"/>
    <w:rsid w:val="00427990"/>
    <w:rsid w:val="0043606F"/>
    <w:rsid w:val="00437217"/>
    <w:rsid w:val="00442075"/>
    <w:rsid w:val="00442FB7"/>
    <w:rsid w:val="00444E85"/>
    <w:rsid w:val="00446F6D"/>
    <w:rsid w:val="004502E3"/>
    <w:rsid w:val="00450F50"/>
    <w:rsid w:val="0045198C"/>
    <w:rsid w:val="00453365"/>
    <w:rsid w:val="00453565"/>
    <w:rsid w:val="00457F9D"/>
    <w:rsid w:val="0046138C"/>
    <w:rsid w:val="00467BC6"/>
    <w:rsid w:val="0047084F"/>
    <w:rsid w:val="00474DEE"/>
    <w:rsid w:val="00475416"/>
    <w:rsid w:val="00482FE4"/>
    <w:rsid w:val="0049177E"/>
    <w:rsid w:val="00491B9C"/>
    <w:rsid w:val="004A2DB9"/>
    <w:rsid w:val="004A46EE"/>
    <w:rsid w:val="004A5659"/>
    <w:rsid w:val="004A6C00"/>
    <w:rsid w:val="004C19BC"/>
    <w:rsid w:val="004C24E0"/>
    <w:rsid w:val="004C283D"/>
    <w:rsid w:val="004C2DC4"/>
    <w:rsid w:val="004E0A05"/>
    <w:rsid w:val="004E0CFF"/>
    <w:rsid w:val="004E4D48"/>
    <w:rsid w:val="004F162D"/>
    <w:rsid w:val="004F1A55"/>
    <w:rsid w:val="004F332E"/>
    <w:rsid w:val="004F6649"/>
    <w:rsid w:val="005023BE"/>
    <w:rsid w:val="00505700"/>
    <w:rsid w:val="0051034E"/>
    <w:rsid w:val="00510A93"/>
    <w:rsid w:val="005124BF"/>
    <w:rsid w:val="0051285B"/>
    <w:rsid w:val="005158DF"/>
    <w:rsid w:val="00517AB3"/>
    <w:rsid w:val="00527715"/>
    <w:rsid w:val="00530B63"/>
    <w:rsid w:val="00531C41"/>
    <w:rsid w:val="005328F0"/>
    <w:rsid w:val="00535191"/>
    <w:rsid w:val="00536646"/>
    <w:rsid w:val="0053731F"/>
    <w:rsid w:val="00543249"/>
    <w:rsid w:val="00545D87"/>
    <w:rsid w:val="00553C80"/>
    <w:rsid w:val="00554B45"/>
    <w:rsid w:val="005554B5"/>
    <w:rsid w:val="00563DFB"/>
    <w:rsid w:val="0056502E"/>
    <w:rsid w:val="00565239"/>
    <w:rsid w:val="005668CC"/>
    <w:rsid w:val="00572228"/>
    <w:rsid w:val="0057245E"/>
    <w:rsid w:val="005738E0"/>
    <w:rsid w:val="00574E99"/>
    <w:rsid w:val="00577DF5"/>
    <w:rsid w:val="005803BB"/>
    <w:rsid w:val="005834C8"/>
    <w:rsid w:val="005910D4"/>
    <w:rsid w:val="0059727E"/>
    <w:rsid w:val="005A2282"/>
    <w:rsid w:val="005A357D"/>
    <w:rsid w:val="005A41F7"/>
    <w:rsid w:val="005A5D6F"/>
    <w:rsid w:val="005A747E"/>
    <w:rsid w:val="005B0700"/>
    <w:rsid w:val="005B2EB0"/>
    <w:rsid w:val="005B49C2"/>
    <w:rsid w:val="005B4B75"/>
    <w:rsid w:val="005B4EF2"/>
    <w:rsid w:val="005B50EC"/>
    <w:rsid w:val="005B5658"/>
    <w:rsid w:val="005B7C74"/>
    <w:rsid w:val="005B7F91"/>
    <w:rsid w:val="005C0002"/>
    <w:rsid w:val="005C2771"/>
    <w:rsid w:val="005C4AD5"/>
    <w:rsid w:val="005C5A45"/>
    <w:rsid w:val="005C5D9F"/>
    <w:rsid w:val="005C7059"/>
    <w:rsid w:val="005D06B5"/>
    <w:rsid w:val="005D0857"/>
    <w:rsid w:val="005D0E97"/>
    <w:rsid w:val="005D7AEB"/>
    <w:rsid w:val="005E0924"/>
    <w:rsid w:val="005E2E2A"/>
    <w:rsid w:val="005E6660"/>
    <w:rsid w:val="005E6BD0"/>
    <w:rsid w:val="005F77DF"/>
    <w:rsid w:val="00600779"/>
    <w:rsid w:val="00600879"/>
    <w:rsid w:val="00602260"/>
    <w:rsid w:val="0061178F"/>
    <w:rsid w:val="00612C76"/>
    <w:rsid w:val="00613C3C"/>
    <w:rsid w:val="00613F1C"/>
    <w:rsid w:val="006140EC"/>
    <w:rsid w:val="00615424"/>
    <w:rsid w:val="00615BBB"/>
    <w:rsid w:val="00617AB6"/>
    <w:rsid w:val="0062059F"/>
    <w:rsid w:val="006209B7"/>
    <w:rsid w:val="00620F66"/>
    <w:rsid w:val="00621CCD"/>
    <w:rsid w:val="006221E1"/>
    <w:rsid w:val="00623138"/>
    <w:rsid w:val="0062486E"/>
    <w:rsid w:val="0062579D"/>
    <w:rsid w:val="006261D2"/>
    <w:rsid w:val="0063105E"/>
    <w:rsid w:val="006424B9"/>
    <w:rsid w:val="00643EBC"/>
    <w:rsid w:val="00644C6B"/>
    <w:rsid w:val="006511E5"/>
    <w:rsid w:val="0065246D"/>
    <w:rsid w:val="00657914"/>
    <w:rsid w:val="006637C6"/>
    <w:rsid w:val="006717AF"/>
    <w:rsid w:val="00674FC5"/>
    <w:rsid w:val="00675E6A"/>
    <w:rsid w:val="00676AB0"/>
    <w:rsid w:val="00682C4A"/>
    <w:rsid w:val="006871AC"/>
    <w:rsid w:val="0068792F"/>
    <w:rsid w:val="00687A4D"/>
    <w:rsid w:val="00691E23"/>
    <w:rsid w:val="006A2FB2"/>
    <w:rsid w:val="006A34BC"/>
    <w:rsid w:val="006A5B67"/>
    <w:rsid w:val="006B4AE9"/>
    <w:rsid w:val="006C1560"/>
    <w:rsid w:val="006C210B"/>
    <w:rsid w:val="006C50EE"/>
    <w:rsid w:val="006C5BD0"/>
    <w:rsid w:val="006D0ECD"/>
    <w:rsid w:val="006D1008"/>
    <w:rsid w:val="006D147C"/>
    <w:rsid w:val="006D26C6"/>
    <w:rsid w:val="006D2A9B"/>
    <w:rsid w:val="006E10B9"/>
    <w:rsid w:val="006E16E3"/>
    <w:rsid w:val="006E5B50"/>
    <w:rsid w:val="006E6A8D"/>
    <w:rsid w:val="006F1411"/>
    <w:rsid w:val="006F4A15"/>
    <w:rsid w:val="006F7299"/>
    <w:rsid w:val="007041B7"/>
    <w:rsid w:val="00710EFC"/>
    <w:rsid w:val="0071155B"/>
    <w:rsid w:val="00711D6C"/>
    <w:rsid w:val="0071206F"/>
    <w:rsid w:val="00712F70"/>
    <w:rsid w:val="00715084"/>
    <w:rsid w:val="00716DB0"/>
    <w:rsid w:val="00717B1A"/>
    <w:rsid w:val="00721373"/>
    <w:rsid w:val="00721A78"/>
    <w:rsid w:val="007266B7"/>
    <w:rsid w:val="00726ACB"/>
    <w:rsid w:val="00726D20"/>
    <w:rsid w:val="0072747E"/>
    <w:rsid w:val="0073186C"/>
    <w:rsid w:val="00732601"/>
    <w:rsid w:val="00733FB5"/>
    <w:rsid w:val="0073411D"/>
    <w:rsid w:val="00734B2E"/>
    <w:rsid w:val="007353D8"/>
    <w:rsid w:val="00735F9E"/>
    <w:rsid w:val="00736418"/>
    <w:rsid w:val="007403EC"/>
    <w:rsid w:val="0074318F"/>
    <w:rsid w:val="00744B04"/>
    <w:rsid w:val="00750778"/>
    <w:rsid w:val="0075125D"/>
    <w:rsid w:val="00753146"/>
    <w:rsid w:val="00754865"/>
    <w:rsid w:val="00756312"/>
    <w:rsid w:val="0076162A"/>
    <w:rsid w:val="00765CED"/>
    <w:rsid w:val="00765FE0"/>
    <w:rsid w:val="007660D1"/>
    <w:rsid w:val="00767960"/>
    <w:rsid w:val="00770959"/>
    <w:rsid w:val="00773561"/>
    <w:rsid w:val="0077503E"/>
    <w:rsid w:val="007821C0"/>
    <w:rsid w:val="00782B45"/>
    <w:rsid w:val="00787AB2"/>
    <w:rsid w:val="007914B8"/>
    <w:rsid w:val="00792966"/>
    <w:rsid w:val="007932E5"/>
    <w:rsid w:val="00795965"/>
    <w:rsid w:val="00796392"/>
    <w:rsid w:val="007A06BD"/>
    <w:rsid w:val="007A08E4"/>
    <w:rsid w:val="007A1820"/>
    <w:rsid w:val="007A1A1B"/>
    <w:rsid w:val="007A2664"/>
    <w:rsid w:val="007A382A"/>
    <w:rsid w:val="007A4F05"/>
    <w:rsid w:val="007A7C92"/>
    <w:rsid w:val="007B30A9"/>
    <w:rsid w:val="007B55FF"/>
    <w:rsid w:val="007B5BCB"/>
    <w:rsid w:val="007C1528"/>
    <w:rsid w:val="007C170F"/>
    <w:rsid w:val="007C19CD"/>
    <w:rsid w:val="007C5E00"/>
    <w:rsid w:val="007E0C9E"/>
    <w:rsid w:val="007E0CEE"/>
    <w:rsid w:val="007E3C70"/>
    <w:rsid w:val="007E3D6B"/>
    <w:rsid w:val="007E5D50"/>
    <w:rsid w:val="007F60C2"/>
    <w:rsid w:val="007F6647"/>
    <w:rsid w:val="0080117A"/>
    <w:rsid w:val="008022EF"/>
    <w:rsid w:val="00804035"/>
    <w:rsid w:val="00804994"/>
    <w:rsid w:val="00804FBA"/>
    <w:rsid w:val="0080504A"/>
    <w:rsid w:val="008208F1"/>
    <w:rsid w:val="00822F43"/>
    <w:rsid w:val="008347D9"/>
    <w:rsid w:val="0083505E"/>
    <w:rsid w:val="0083537F"/>
    <w:rsid w:val="008356EB"/>
    <w:rsid w:val="00842605"/>
    <w:rsid w:val="00843F0D"/>
    <w:rsid w:val="00845C02"/>
    <w:rsid w:val="00845FA0"/>
    <w:rsid w:val="0084729E"/>
    <w:rsid w:val="00853464"/>
    <w:rsid w:val="008541C2"/>
    <w:rsid w:val="00854BCC"/>
    <w:rsid w:val="00856D2D"/>
    <w:rsid w:val="008570DE"/>
    <w:rsid w:val="00857216"/>
    <w:rsid w:val="008614E5"/>
    <w:rsid w:val="0086155F"/>
    <w:rsid w:val="00862938"/>
    <w:rsid w:val="00862C26"/>
    <w:rsid w:val="008658B3"/>
    <w:rsid w:val="00866105"/>
    <w:rsid w:val="00872D25"/>
    <w:rsid w:val="0087745A"/>
    <w:rsid w:val="00877B3D"/>
    <w:rsid w:val="008813AC"/>
    <w:rsid w:val="0088216D"/>
    <w:rsid w:val="00882505"/>
    <w:rsid w:val="00882749"/>
    <w:rsid w:val="00883120"/>
    <w:rsid w:val="00884249"/>
    <w:rsid w:val="008846CB"/>
    <w:rsid w:val="008949AA"/>
    <w:rsid w:val="00895E9F"/>
    <w:rsid w:val="00896F7A"/>
    <w:rsid w:val="00897F2D"/>
    <w:rsid w:val="008A1E9B"/>
    <w:rsid w:val="008A257F"/>
    <w:rsid w:val="008A7806"/>
    <w:rsid w:val="008A7818"/>
    <w:rsid w:val="008B6181"/>
    <w:rsid w:val="008C24E0"/>
    <w:rsid w:val="008C3436"/>
    <w:rsid w:val="008C5138"/>
    <w:rsid w:val="008C56C5"/>
    <w:rsid w:val="008C7781"/>
    <w:rsid w:val="008C7F6D"/>
    <w:rsid w:val="008D0E57"/>
    <w:rsid w:val="008E3A5E"/>
    <w:rsid w:val="008E5624"/>
    <w:rsid w:val="008F2817"/>
    <w:rsid w:val="008F2DE7"/>
    <w:rsid w:val="008F5710"/>
    <w:rsid w:val="008F6EA9"/>
    <w:rsid w:val="008F7728"/>
    <w:rsid w:val="009021E7"/>
    <w:rsid w:val="00902656"/>
    <w:rsid w:val="00904E49"/>
    <w:rsid w:val="009100EA"/>
    <w:rsid w:val="009102B3"/>
    <w:rsid w:val="00910857"/>
    <w:rsid w:val="009112AE"/>
    <w:rsid w:val="00911677"/>
    <w:rsid w:val="009152C0"/>
    <w:rsid w:val="00916AD8"/>
    <w:rsid w:val="0091792A"/>
    <w:rsid w:val="009232EF"/>
    <w:rsid w:val="00925ABB"/>
    <w:rsid w:val="00933AC9"/>
    <w:rsid w:val="00937FC1"/>
    <w:rsid w:val="00944756"/>
    <w:rsid w:val="00946AAE"/>
    <w:rsid w:val="00946D78"/>
    <w:rsid w:val="00946DF1"/>
    <w:rsid w:val="009504FC"/>
    <w:rsid w:val="00951334"/>
    <w:rsid w:val="00951D3B"/>
    <w:rsid w:val="0095445C"/>
    <w:rsid w:val="0095467D"/>
    <w:rsid w:val="009567A5"/>
    <w:rsid w:val="009607ED"/>
    <w:rsid w:val="00964995"/>
    <w:rsid w:val="0096502B"/>
    <w:rsid w:val="00965C91"/>
    <w:rsid w:val="00971DC5"/>
    <w:rsid w:val="00977505"/>
    <w:rsid w:val="00980B78"/>
    <w:rsid w:val="00981C46"/>
    <w:rsid w:val="00984BA8"/>
    <w:rsid w:val="00987A5F"/>
    <w:rsid w:val="00993E24"/>
    <w:rsid w:val="009A0A9F"/>
    <w:rsid w:val="009A1BD8"/>
    <w:rsid w:val="009A2976"/>
    <w:rsid w:val="009A2A47"/>
    <w:rsid w:val="009A3A6D"/>
    <w:rsid w:val="009B1519"/>
    <w:rsid w:val="009C0A81"/>
    <w:rsid w:val="009C1445"/>
    <w:rsid w:val="009C2FA6"/>
    <w:rsid w:val="009C4668"/>
    <w:rsid w:val="009C58CF"/>
    <w:rsid w:val="009C7EF5"/>
    <w:rsid w:val="009D4585"/>
    <w:rsid w:val="009D7485"/>
    <w:rsid w:val="009D7F44"/>
    <w:rsid w:val="009E06EF"/>
    <w:rsid w:val="009E1C7A"/>
    <w:rsid w:val="009E1E1C"/>
    <w:rsid w:val="009E27F1"/>
    <w:rsid w:val="009E64F4"/>
    <w:rsid w:val="009E6BF3"/>
    <w:rsid w:val="009F196A"/>
    <w:rsid w:val="009F3E90"/>
    <w:rsid w:val="009F4EE0"/>
    <w:rsid w:val="00A028B7"/>
    <w:rsid w:val="00A038CC"/>
    <w:rsid w:val="00A06FEA"/>
    <w:rsid w:val="00A14D7A"/>
    <w:rsid w:val="00A17D1D"/>
    <w:rsid w:val="00A2436A"/>
    <w:rsid w:val="00A254E9"/>
    <w:rsid w:val="00A3167F"/>
    <w:rsid w:val="00A32A76"/>
    <w:rsid w:val="00A32AF3"/>
    <w:rsid w:val="00A35AA0"/>
    <w:rsid w:val="00A36DE7"/>
    <w:rsid w:val="00A37BC9"/>
    <w:rsid w:val="00A37F0C"/>
    <w:rsid w:val="00A418C5"/>
    <w:rsid w:val="00A43881"/>
    <w:rsid w:val="00A45181"/>
    <w:rsid w:val="00A45995"/>
    <w:rsid w:val="00A5234C"/>
    <w:rsid w:val="00A524A2"/>
    <w:rsid w:val="00A561DC"/>
    <w:rsid w:val="00A57857"/>
    <w:rsid w:val="00A6075F"/>
    <w:rsid w:val="00A651CC"/>
    <w:rsid w:val="00A659C2"/>
    <w:rsid w:val="00A65AF0"/>
    <w:rsid w:val="00A65DE9"/>
    <w:rsid w:val="00A67743"/>
    <w:rsid w:val="00A774F8"/>
    <w:rsid w:val="00A83861"/>
    <w:rsid w:val="00A8719E"/>
    <w:rsid w:val="00A942F0"/>
    <w:rsid w:val="00A94F24"/>
    <w:rsid w:val="00A95566"/>
    <w:rsid w:val="00A97482"/>
    <w:rsid w:val="00A97F76"/>
    <w:rsid w:val="00AA1DD3"/>
    <w:rsid w:val="00AA399F"/>
    <w:rsid w:val="00AA3AB0"/>
    <w:rsid w:val="00AA6E58"/>
    <w:rsid w:val="00AB02A5"/>
    <w:rsid w:val="00AB1ACE"/>
    <w:rsid w:val="00AB3CC9"/>
    <w:rsid w:val="00AB4623"/>
    <w:rsid w:val="00AB6441"/>
    <w:rsid w:val="00AB7966"/>
    <w:rsid w:val="00AC197B"/>
    <w:rsid w:val="00AC23DE"/>
    <w:rsid w:val="00AC4915"/>
    <w:rsid w:val="00AC4BC7"/>
    <w:rsid w:val="00AD088F"/>
    <w:rsid w:val="00AD2644"/>
    <w:rsid w:val="00AD2662"/>
    <w:rsid w:val="00AD68CD"/>
    <w:rsid w:val="00AD7089"/>
    <w:rsid w:val="00AD714D"/>
    <w:rsid w:val="00AE2449"/>
    <w:rsid w:val="00AE32E8"/>
    <w:rsid w:val="00AE3342"/>
    <w:rsid w:val="00AE4249"/>
    <w:rsid w:val="00AE6177"/>
    <w:rsid w:val="00AE7E5F"/>
    <w:rsid w:val="00AF2ECA"/>
    <w:rsid w:val="00AF3935"/>
    <w:rsid w:val="00AF5E1B"/>
    <w:rsid w:val="00AF6153"/>
    <w:rsid w:val="00AF661B"/>
    <w:rsid w:val="00B0447D"/>
    <w:rsid w:val="00B04877"/>
    <w:rsid w:val="00B05113"/>
    <w:rsid w:val="00B11CB2"/>
    <w:rsid w:val="00B12CD0"/>
    <w:rsid w:val="00B14087"/>
    <w:rsid w:val="00B143F7"/>
    <w:rsid w:val="00B156A2"/>
    <w:rsid w:val="00B23B04"/>
    <w:rsid w:val="00B2623B"/>
    <w:rsid w:val="00B370FD"/>
    <w:rsid w:val="00B45308"/>
    <w:rsid w:val="00B4569F"/>
    <w:rsid w:val="00B45C7F"/>
    <w:rsid w:val="00B55B0D"/>
    <w:rsid w:val="00B55D47"/>
    <w:rsid w:val="00B572C5"/>
    <w:rsid w:val="00B57A10"/>
    <w:rsid w:val="00B57FF6"/>
    <w:rsid w:val="00B62CFB"/>
    <w:rsid w:val="00B63710"/>
    <w:rsid w:val="00B65817"/>
    <w:rsid w:val="00B66B12"/>
    <w:rsid w:val="00B70FE7"/>
    <w:rsid w:val="00B74FBB"/>
    <w:rsid w:val="00B76F74"/>
    <w:rsid w:val="00B80C04"/>
    <w:rsid w:val="00B81693"/>
    <w:rsid w:val="00B82E13"/>
    <w:rsid w:val="00B86B02"/>
    <w:rsid w:val="00B905EC"/>
    <w:rsid w:val="00B92583"/>
    <w:rsid w:val="00B9285F"/>
    <w:rsid w:val="00B964A6"/>
    <w:rsid w:val="00B96895"/>
    <w:rsid w:val="00BA5E07"/>
    <w:rsid w:val="00BB0225"/>
    <w:rsid w:val="00BB104F"/>
    <w:rsid w:val="00BB1D96"/>
    <w:rsid w:val="00BB23EA"/>
    <w:rsid w:val="00BB33EE"/>
    <w:rsid w:val="00BB40FC"/>
    <w:rsid w:val="00BB4D1F"/>
    <w:rsid w:val="00BB712A"/>
    <w:rsid w:val="00BC0223"/>
    <w:rsid w:val="00BC387A"/>
    <w:rsid w:val="00BD115A"/>
    <w:rsid w:val="00BD20CA"/>
    <w:rsid w:val="00BD26D6"/>
    <w:rsid w:val="00BD50B0"/>
    <w:rsid w:val="00BD7F9D"/>
    <w:rsid w:val="00BE1221"/>
    <w:rsid w:val="00BF0C1F"/>
    <w:rsid w:val="00BF2E09"/>
    <w:rsid w:val="00BF342A"/>
    <w:rsid w:val="00BF523F"/>
    <w:rsid w:val="00C002B6"/>
    <w:rsid w:val="00C01944"/>
    <w:rsid w:val="00C01FB4"/>
    <w:rsid w:val="00C02082"/>
    <w:rsid w:val="00C02A6E"/>
    <w:rsid w:val="00C040E4"/>
    <w:rsid w:val="00C04980"/>
    <w:rsid w:val="00C06A00"/>
    <w:rsid w:val="00C0766C"/>
    <w:rsid w:val="00C137B9"/>
    <w:rsid w:val="00C226DF"/>
    <w:rsid w:val="00C236C3"/>
    <w:rsid w:val="00C236EC"/>
    <w:rsid w:val="00C23E98"/>
    <w:rsid w:val="00C24B2B"/>
    <w:rsid w:val="00C2589F"/>
    <w:rsid w:val="00C44818"/>
    <w:rsid w:val="00C459EC"/>
    <w:rsid w:val="00C50A1C"/>
    <w:rsid w:val="00C51453"/>
    <w:rsid w:val="00C5190F"/>
    <w:rsid w:val="00C53F30"/>
    <w:rsid w:val="00C56CCC"/>
    <w:rsid w:val="00C62F47"/>
    <w:rsid w:val="00C6609E"/>
    <w:rsid w:val="00C66307"/>
    <w:rsid w:val="00C707F3"/>
    <w:rsid w:val="00C7320C"/>
    <w:rsid w:val="00C74AED"/>
    <w:rsid w:val="00C74EDF"/>
    <w:rsid w:val="00C8185D"/>
    <w:rsid w:val="00C84106"/>
    <w:rsid w:val="00C847B0"/>
    <w:rsid w:val="00C92714"/>
    <w:rsid w:val="00CA2FE8"/>
    <w:rsid w:val="00CA59D8"/>
    <w:rsid w:val="00CA7D1D"/>
    <w:rsid w:val="00CB1B42"/>
    <w:rsid w:val="00CB6139"/>
    <w:rsid w:val="00CB62A5"/>
    <w:rsid w:val="00CB63DE"/>
    <w:rsid w:val="00CC1B82"/>
    <w:rsid w:val="00CC5FE4"/>
    <w:rsid w:val="00CC7D02"/>
    <w:rsid w:val="00CD2BEA"/>
    <w:rsid w:val="00CE2A06"/>
    <w:rsid w:val="00CF3906"/>
    <w:rsid w:val="00D002B2"/>
    <w:rsid w:val="00D01054"/>
    <w:rsid w:val="00D028A8"/>
    <w:rsid w:val="00D064D4"/>
    <w:rsid w:val="00D10470"/>
    <w:rsid w:val="00D1069E"/>
    <w:rsid w:val="00D163F0"/>
    <w:rsid w:val="00D17335"/>
    <w:rsid w:val="00D2085A"/>
    <w:rsid w:val="00D21A63"/>
    <w:rsid w:val="00D246DD"/>
    <w:rsid w:val="00D25529"/>
    <w:rsid w:val="00D25AA8"/>
    <w:rsid w:val="00D267C6"/>
    <w:rsid w:val="00D32D28"/>
    <w:rsid w:val="00D365CF"/>
    <w:rsid w:val="00D36CAA"/>
    <w:rsid w:val="00D40B7E"/>
    <w:rsid w:val="00D413F3"/>
    <w:rsid w:val="00D43394"/>
    <w:rsid w:val="00D45A58"/>
    <w:rsid w:val="00D4749B"/>
    <w:rsid w:val="00D500BC"/>
    <w:rsid w:val="00D54293"/>
    <w:rsid w:val="00D57752"/>
    <w:rsid w:val="00D616F1"/>
    <w:rsid w:val="00D6238E"/>
    <w:rsid w:val="00D65E0E"/>
    <w:rsid w:val="00D6674D"/>
    <w:rsid w:val="00D766A8"/>
    <w:rsid w:val="00D81DDD"/>
    <w:rsid w:val="00D86CFD"/>
    <w:rsid w:val="00D86E8F"/>
    <w:rsid w:val="00D90384"/>
    <w:rsid w:val="00D90AB5"/>
    <w:rsid w:val="00D9487C"/>
    <w:rsid w:val="00DA15FE"/>
    <w:rsid w:val="00DA1C4D"/>
    <w:rsid w:val="00DA4537"/>
    <w:rsid w:val="00DA60D3"/>
    <w:rsid w:val="00DA7984"/>
    <w:rsid w:val="00DB55F8"/>
    <w:rsid w:val="00DB75B1"/>
    <w:rsid w:val="00DC05FF"/>
    <w:rsid w:val="00DC18A9"/>
    <w:rsid w:val="00DC2157"/>
    <w:rsid w:val="00DC66CC"/>
    <w:rsid w:val="00DC7D0D"/>
    <w:rsid w:val="00DD3033"/>
    <w:rsid w:val="00DD4BB3"/>
    <w:rsid w:val="00DD4F65"/>
    <w:rsid w:val="00DD7AC6"/>
    <w:rsid w:val="00DD7E39"/>
    <w:rsid w:val="00DE3D0A"/>
    <w:rsid w:val="00DE419A"/>
    <w:rsid w:val="00DE5347"/>
    <w:rsid w:val="00DE7675"/>
    <w:rsid w:val="00DF2D88"/>
    <w:rsid w:val="00E01C17"/>
    <w:rsid w:val="00E0285C"/>
    <w:rsid w:val="00E110DF"/>
    <w:rsid w:val="00E1479F"/>
    <w:rsid w:val="00E1520F"/>
    <w:rsid w:val="00E22488"/>
    <w:rsid w:val="00E33CE6"/>
    <w:rsid w:val="00E348E9"/>
    <w:rsid w:val="00E411F7"/>
    <w:rsid w:val="00E428AB"/>
    <w:rsid w:val="00E42AA6"/>
    <w:rsid w:val="00E509F1"/>
    <w:rsid w:val="00E533BD"/>
    <w:rsid w:val="00E53FB7"/>
    <w:rsid w:val="00E54421"/>
    <w:rsid w:val="00E567CF"/>
    <w:rsid w:val="00E57BDF"/>
    <w:rsid w:val="00E60F64"/>
    <w:rsid w:val="00E614B0"/>
    <w:rsid w:val="00E63620"/>
    <w:rsid w:val="00E6442C"/>
    <w:rsid w:val="00E7027F"/>
    <w:rsid w:val="00E80F49"/>
    <w:rsid w:val="00E82293"/>
    <w:rsid w:val="00E840BA"/>
    <w:rsid w:val="00E870E8"/>
    <w:rsid w:val="00E95C64"/>
    <w:rsid w:val="00EA08B5"/>
    <w:rsid w:val="00EA2603"/>
    <w:rsid w:val="00EA26DC"/>
    <w:rsid w:val="00EA6C7A"/>
    <w:rsid w:val="00EA6CF9"/>
    <w:rsid w:val="00EA72EC"/>
    <w:rsid w:val="00EB0EBE"/>
    <w:rsid w:val="00EB4543"/>
    <w:rsid w:val="00EB5661"/>
    <w:rsid w:val="00EB7C4B"/>
    <w:rsid w:val="00EC1F68"/>
    <w:rsid w:val="00EC240E"/>
    <w:rsid w:val="00EC3B31"/>
    <w:rsid w:val="00EC3F54"/>
    <w:rsid w:val="00EC42BA"/>
    <w:rsid w:val="00EC5DAD"/>
    <w:rsid w:val="00EC77DF"/>
    <w:rsid w:val="00ED235C"/>
    <w:rsid w:val="00EE628E"/>
    <w:rsid w:val="00EE725D"/>
    <w:rsid w:val="00EF3F6F"/>
    <w:rsid w:val="00EF48C2"/>
    <w:rsid w:val="00EF492D"/>
    <w:rsid w:val="00EF662D"/>
    <w:rsid w:val="00EF78FF"/>
    <w:rsid w:val="00F0506F"/>
    <w:rsid w:val="00F06DE1"/>
    <w:rsid w:val="00F071DB"/>
    <w:rsid w:val="00F071E6"/>
    <w:rsid w:val="00F1139F"/>
    <w:rsid w:val="00F12EA3"/>
    <w:rsid w:val="00F16342"/>
    <w:rsid w:val="00F23BA3"/>
    <w:rsid w:val="00F2411C"/>
    <w:rsid w:val="00F24643"/>
    <w:rsid w:val="00F35BF0"/>
    <w:rsid w:val="00F41036"/>
    <w:rsid w:val="00F4309C"/>
    <w:rsid w:val="00F435C6"/>
    <w:rsid w:val="00F442D0"/>
    <w:rsid w:val="00F46EEE"/>
    <w:rsid w:val="00F47772"/>
    <w:rsid w:val="00F47C04"/>
    <w:rsid w:val="00F50347"/>
    <w:rsid w:val="00F578C2"/>
    <w:rsid w:val="00F57AC9"/>
    <w:rsid w:val="00F60041"/>
    <w:rsid w:val="00F6186B"/>
    <w:rsid w:val="00F61E45"/>
    <w:rsid w:val="00F65583"/>
    <w:rsid w:val="00F71C51"/>
    <w:rsid w:val="00F72A10"/>
    <w:rsid w:val="00F74A4B"/>
    <w:rsid w:val="00F75759"/>
    <w:rsid w:val="00F7710A"/>
    <w:rsid w:val="00F92044"/>
    <w:rsid w:val="00F9320B"/>
    <w:rsid w:val="00FA32D9"/>
    <w:rsid w:val="00FA40BD"/>
    <w:rsid w:val="00FA4B4E"/>
    <w:rsid w:val="00FA6BCA"/>
    <w:rsid w:val="00FB138F"/>
    <w:rsid w:val="00FB197D"/>
    <w:rsid w:val="00FB2BDE"/>
    <w:rsid w:val="00FB6C1C"/>
    <w:rsid w:val="00FC1D7F"/>
    <w:rsid w:val="00FC222B"/>
    <w:rsid w:val="00FC2662"/>
    <w:rsid w:val="00FC31A9"/>
    <w:rsid w:val="00FC33A0"/>
    <w:rsid w:val="00FC5D22"/>
    <w:rsid w:val="00FC70A2"/>
    <w:rsid w:val="00FD024C"/>
    <w:rsid w:val="00FD364D"/>
    <w:rsid w:val="00FD4100"/>
    <w:rsid w:val="00FD607C"/>
    <w:rsid w:val="00FD6752"/>
    <w:rsid w:val="00FD7D6D"/>
    <w:rsid w:val="00FE07DC"/>
    <w:rsid w:val="00FE2151"/>
    <w:rsid w:val="00FE32AA"/>
    <w:rsid w:val="00FE40E3"/>
    <w:rsid w:val="00FE75A3"/>
    <w:rsid w:val="00FE7866"/>
    <w:rsid w:val="00FF1B16"/>
    <w:rsid w:val="00FF1BCE"/>
    <w:rsid w:val="00FF3F6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CBA9B"/>
  <w15:chartTrackingRefBased/>
  <w15:docId w15:val="{3FC8F4F1-AB9E-464A-9F65-FA9BDFA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DE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7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FC1"/>
  </w:style>
  <w:style w:type="paragraph" w:styleId="Pidipagina">
    <w:name w:val="footer"/>
    <w:basedOn w:val="Normale"/>
    <w:link w:val="PidipaginaCarattere"/>
    <w:uiPriority w:val="99"/>
    <w:unhideWhenUsed/>
    <w:rsid w:val="00937F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FC1"/>
  </w:style>
  <w:style w:type="paragraph" w:styleId="NormaleWeb">
    <w:name w:val="Normal (Web)"/>
    <w:basedOn w:val="Normale"/>
    <w:uiPriority w:val="99"/>
    <w:semiHidden/>
    <w:unhideWhenUsed/>
    <w:rsid w:val="00B143F7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0426F9"/>
  </w:style>
  <w:style w:type="character" w:styleId="Rimandocommento">
    <w:name w:val="annotation reference"/>
    <w:basedOn w:val="Carpredefinitoparagrafo"/>
    <w:uiPriority w:val="99"/>
    <w:semiHidden/>
    <w:unhideWhenUsed/>
    <w:rsid w:val="00A65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5A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5A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5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5AF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D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DF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C7EF5"/>
  </w:style>
  <w:style w:type="character" w:styleId="Collegamentoipertestuale">
    <w:name w:val="Hyperlink"/>
    <w:uiPriority w:val="99"/>
    <w:rsid w:val="005B5658"/>
    <w:rPr>
      <w:color w:val="70AD47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79C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hoa@imagebuilding.it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nhoa.energy" TargetMode="External"/><Relationship Id="rId17" Type="http://schemas.openxmlformats.org/officeDocument/2006/relationships/hyperlink" Target="https://www.linkedin.com/company/electro-power-syste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marco.belletti@f2m-esolutions.co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linkedin.com/company/electro-power-system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r@nhoa.energy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3EA7C652A414AA59DE29CE6DA0BA2" ma:contentTypeVersion="4" ma:contentTypeDescription="Create a new document." ma:contentTypeScope="" ma:versionID="0497492d13ae59e9857f491f8cea5753">
  <xsd:schema xmlns:xsd="http://www.w3.org/2001/XMLSchema" xmlns:xs="http://www.w3.org/2001/XMLSchema" xmlns:p="http://schemas.microsoft.com/office/2006/metadata/properties" xmlns:ns2="87037488-ec5d-4aba-84c2-9b1d22638e8e" xmlns:ns3="da449060-01a7-475a-bb73-8a5b62c1be00" targetNamespace="http://schemas.microsoft.com/office/2006/metadata/properties" ma:root="true" ma:fieldsID="743b5edcd735e79e91039414ee1f9778" ns2:_="" ns3:_="">
    <xsd:import namespace="87037488-ec5d-4aba-84c2-9b1d22638e8e"/>
    <xsd:import namespace="da449060-01a7-475a-bb73-8a5b62c1be00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a87be99-b4b7-4a6a-81b8-45b3ace6cf23}" ma:internalName="TaxCatchAll" ma:showField="CatchAllData" ma:web="e797651d-df79-464a-8656-e35cdd127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a87be99-b4b7-4a6a-81b8-45b3ace6cf23}" ma:internalName="TaxCatchAllLabel" ma:readOnly="true" ma:showField="CatchAllDataLabel" ma:web="e797651d-df79-464a-8656-e35cdd127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9060-01a7-475a-bb73-8a5b62c1b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bf472f7-a010-4b5a-bb99-a26ed4c9968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210FFF-898D-4D86-B716-6AF954338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da449060-01a7-475a-bb73-8a5b62c1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CB509-2B83-4DBF-8368-E93E75ED8F0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F680C55-AD0E-44C4-BAD0-6C40034FA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3F566-5A9B-4603-9A08-971799A6E964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5.xml><?xml version="1.0" encoding="utf-8"?>
<ds:datastoreItem xmlns:ds="http://schemas.openxmlformats.org/officeDocument/2006/customXml" ds:itemID="{A72C58D3-3387-4FAD-A040-B8616751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2179</Words>
  <Characters>12421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GUGLIELMINOTTI Carlalberto (EPS)</dc:creator>
  <cp:keywords/>
  <dc:description/>
  <cp:lastModifiedBy>FERRARO Matteo (NHOA)</cp:lastModifiedBy>
  <cp:revision>4</cp:revision>
  <cp:lastPrinted>2021-06-29T03:34:00Z</cp:lastPrinted>
  <dcterms:created xsi:type="dcterms:W3CDTF">2021-07-23T00:10:00Z</dcterms:created>
  <dcterms:modified xsi:type="dcterms:W3CDTF">2021-07-23T00:21:00Z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iteId">
    <vt:lpwstr>c9a7d621-4bc4-4407-b730-f428e656aa9e</vt:lpwstr>
  </property>
  <property fmtid="{D5CDD505-2E9C-101B-9397-08002B2CF9AE}" pid="4" name="MSIP_Label_1aaa69c8-0478-4e13-9e4c-38511e3b6774_Owner">
    <vt:lpwstr>diego.collaro@sgcib.com</vt:lpwstr>
  </property>
  <property fmtid="{D5CDD505-2E9C-101B-9397-08002B2CF9AE}" pid="5" name="MSIP_Label_1aaa69c8-0478-4e13-9e4c-38511e3b6774_SetDate">
    <vt:lpwstr>2021-06-22T09:56:31.4445702Z</vt:lpwstr>
  </property>
  <property fmtid="{D5CDD505-2E9C-101B-9397-08002B2CF9AE}" pid="6" name="MSIP_Label_1aaa69c8-0478-4e13-9e4c-38511e3b6774_Name">
    <vt:lpwstr>C0 - Public</vt:lpwstr>
  </property>
  <property fmtid="{D5CDD505-2E9C-101B-9397-08002B2CF9AE}" pid="7" name="MSIP_Label_1aaa69c8-0478-4e13-9e4c-38511e3b6774_Application">
    <vt:lpwstr>Microsoft Azure Information Protection</vt:lpwstr>
  </property>
  <property fmtid="{D5CDD505-2E9C-101B-9397-08002B2CF9AE}" pid="8" name="MSIP_Label_1aaa69c8-0478-4e13-9e4c-38511e3b6774_ActionId">
    <vt:lpwstr>f6c0ed1e-9358-471c-ba25-9b15db40a034</vt:lpwstr>
  </property>
  <property fmtid="{D5CDD505-2E9C-101B-9397-08002B2CF9AE}" pid="9" name="MSIP_Label_1aaa69c8-0478-4e13-9e4c-38511e3b6774_Extended_MSFT_Method">
    <vt:lpwstr>Manual</vt:lpwstr>
  </property>
  <property fmtid="{D5CDD505-2E9C-101B-9397-08002B2CF9AE}" pid="10" name="MSIP_Label_c135c4ba-2280-41f8-be7d-6f21d368baa3_Enabled">
    <vt:lpwstr>True</vt:lpwstr>
  </property>
  <property fmtid="{D5CDD505-2E9C-101B-9397-08002B2CF9AE}" pid="11" name="MSIP_Label_c135c4ba-2280-41f8-be7d-6f21d368baa3_SiteId">
    <vt:lpwstr>24139d14-c62c-4c47-8bdd-ce71ea1d50cf</vt:lpwstr>
  </property>
  <property fmtid="{D5CDD505-2E9C-101B-9397-08002B2CF9AE}" pid="12" name="MSIP_Label_c135c4ba-2280-41f8-be7d-6f21d368baa3_SetDate">
    <vt:lpwstr>2021-06-21T11:17:44Z</vt:lpwstr>
  </property>
  <property fmtid="{D5CDD505-2E9C-101B-9397-08002B2CF9AE}" pid="13" name="MSIP_Label_c135c4ba-2280-41f8-be7d-6f21d368baa3_Name">
    <vt:lpwstr>c135c4ba-2280-41f8-be7d-6f21d368baa3</vt:lpwstr>
  </property>
  <property fmtid="{D5CDD505-2E9C-101B-9397-08002B2CF9AE}" pid="14" name="MSIP_Label_c135c4ba-2280-41f8-be7d-6f21d368baa3_ActionId">
    <vt:lpwstr>29d576f7-29c8-4eee-a785-389d4fff3ee8</vt:lpwstr>
  </property>
  <property fmtid="{D5CDD505-2E9C-101B-9397-08002B2CF9AE}" pid="15" name="MSIP_Label_c135c4ba-2280-41f8-be7d-6f21d368baa3_Extended_MSFT_Method">
    <vt:lpwstr>Automatic</vt:lpwstr>
  </property>
  <property fmtid="{D5CDD505-2E9C-101B-9397-08002B2CF9AE}" pid="16" name="Sensitivity">
    <vt:lpwstr>C0 - Public c135c4ba-2280-41f8-be7d-6f21d368baa3</vt:lpwstr>
  </property>
  <property fmtid="{D5CDD505-2E9C-101B-9397-08002B2CF9AE}" pid="17" name="Client Code">
    <vt:lpwstr>10601954</vt:lpwstr>
  </property>
  <property fmtid="{D5CDD505-2E9C-101B-9397-08002B2CF9AE}" pid="18" name="DEDocumentLocation">
    <vt:lpwstr>C:\Users\bsenecha\AppData\Local\Linklaters\DocExplorer\Attachments\A45247396 v0.1 LL Draft Masterplan10x PR DRAFT 08 Plus M&amp;A PR.docx</vt:lpwstr>
  </property>
  <property fmtid="{D5CDD505-2E9C-101B-9397-08002B2CF9AE}" pid="19" name="Document Number">
    <vt:lpwstr>A45247396</vt:lpwstr>
  </property>
  <property fmtid="{D5CDD505-2E9C-101B-9397-08002B2CF9AE}" pid="20" name="Last Modified">
    <vt:lpwstr>05 Jul 2021</vt:lpwstr>
  </property>
  <property fmtid="{D5CDD505-2E9C-101B-9397-08002B2CF9AE}" pid="21" name="Matter Number">
    <vt:lpwstr>L-237093</vt:lpwstr>
  </property>
  <property fmtid="{D5CDD505-2E9C-101B-9397-08002B2CF9AE}" pid="22" name="Mode">
    <vt:lpwstr>SendAs</vt:lpwstr>
  </property>
  <property fmtid="{D5CDD505-2E9C-101B-9397-08002B2CF9AE}" pid="23" name="Version">
    <vt:lpwstr>0.1</vt:lpwstr>
  </property>
  <property fmtid="{D5CDD505-2E9C-101B-9397-08002B2CF9AE}" pid="24" name="ObjectID">
    <vt:lpwstr>09001dc895e9aa5f</vt:lpwstr>
  </property>
  <property fmtid="{D5CDD505-2E9C-101B-9397-08002B2CF9AE}" pid="25" name="ContentTypeId">
    <vt:lpwstr>0x010100E113EA7C652A414AA59DE29CE6DA0BA2</vt:lpwstr>
  </property>
  <property fmtid="{D5CDD505-2E9C-101B-9397-08002B2CF9AE}" pid="26" name="Security Classification">
    <vt:lpwstr/>
  </property>
</Properties>
</file>