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F4143" w14:textId="1BCFE952" w:rsidR="00C51283" w:rsidRPr="001920AD" w:rsidRDefault="00E6529A" w:rsidP="00C51283">
      <w:pPr>
        <w:jc w:val="center"/>
        <w:outlineLvl w:val="0"/>
        <w:rPr>
          <w:b/>
          <w:color w:val="00B388"/>
          <w:sz w:val="32"/>
          <w:szCs w:val="32"/>
          <w:rFonts w:cs="Open Sans"/>
        </w:rPr>
      </w:pPr>
      <w:bookmarkStart w:id="0" w:name="_Hlk107214988"/>
      <w:bookmarkStart w:id="1" w:name="_Hlk106948029"/>
      <w:r>
        <w:rPr>
          <w:b/>
          <w:color w:val="00B388"/>
          <w:sz w:val="32"/>
          <w:szCs w:val="32"/>
        </w:rPr>
        <w:t xml:space="preserve">Free2move eSolutions y sus soluciones de recarga</w:t>
      </w:r>
    </w:p>
    <w:p w14:paraId="61EC8C8F" w14:textId="3788AB35" w:rsidR="001920AD" w:rsidRDefault="001920AD" w:rsidP="00E6529A">
      <w:pPr>
        <w:jc w:val="center"/>
        <w:outlineLvl w:val="0"/>
        <w:rPr>
          <w:b/>
          <w:color w:val="00B388"/>
          <w:sz w:val="32"/>
          <w:szCs w:val="32"/>
          <w:rFonts w:cs="Open Sans"/>
        </w:rPr>
      </w:pPr>
      <w:r>
        <w:rPr>
          <w:b/>
          <w:color w:val="00B388"/>
          <w:sz w:val="32"/>
          <w:szCs w:val="32"/>
        </w:rPr>
        <w:t xml:space="preserve">al lado de los nuevos E-Doblò de Fiat y Fiat Professional</w:t>
      </w:r>
      <w:r>
        <w:rPr>
          <w:b/>
          <w:color w:val="00B388"/>
          <w:sz w:val="32"/>
          <w:szCs w:val="32"/>
        </w:rPr>
        <w:t xml:space="preserve"> </w:t>
      </w:r>
    </w:p>
    <w:p w14:paraId="76DE6256" w14:textId="77777777" w:rsidR="00E6529A" w:rsidRPr="001920AD" w:rsidRDefault="00E6529A" w:rsidP="00E6529A">
      <w:pPr>
        <w:shd w:val="clear" w:color="auto" w:fill="FFFFFF"/>
        <w:jc w:val="left"/>
        <w:textAlignment w:val="baseline"/>
        <w:rPr>
          <w:rFonts w:cs="Open Sans"/>
          <w:b/>
          <w:bCs/>
          <w:sz w:val="26"/>
          <w:szCs w:val="26"/>
        </w:rPr>
      </w:pPr>
    </w:p>
    <w:p w14:paraId="6D270423" w14:textId="24D286C6" w:rsidR="00C805F6" w:rsidRDefault="00CF1DBC" w:rsidP="006B655F">
      <w:pPr>
        <w:shd w:val="clear" w:color="auto" w:fill="FFFFFF"/>
        <w:jc w:val="left"/>
        <w:textAlignment w:val="baseline"/>
        <w:rPr>
          <w:sz w:val="24"/>
          <w:szCs w:val="24"/>
          <w:rFonts w:eastAsia="Times New Roman" w:cs="Times New Roman"/>
        </w:rPr>
      </w:pPr>
      <w:r>
        <w:rPr>
          <w:sz w:val="24"/>
          <w:szCs w:val="24"/>
          <w:b/>
          <w:bCs/>
        </w:rPr>
        <w:t xml:space="preserve">Milán, 5 de diciembre de 2022</w:t>
      </w:r>
      <w:r>
        <w:rPr>
          <w:sz w:val="24"/>
          <w:szCs w:val="24"/>
        </w:rPr>
        <w:t xml:space="preserve"> – La quinta generación del vehículo comercial entra en el mundo de la movilidad eléctrica con el E-Doblò, la versión completamente BEV con batería de 50 kWh y 100 kW de potencia, capaz de garantizar una autonomía de hasta 282 km y una recarga al 80% en 30 min en modalidad de carga rápida.</w:t>
      </w:r>
    </w:p>
    <w:p w14:paraId="51ADBFA8" w14:textId="0CD69F70" w:rsidR="001920AD" w:rsidRDefault="001920AD" w:rsidP="006B655F">
      <w:pPr>
        <w:shd w:val="clear" w:color="auto" w:fill="FFFFFF"/>
        <w:jc w:val="left"/>
        <w:textAlignment w:val="baseline"/>
        <w:rPr>
          <w:rFonts w:eastAsia="Times New Roman" w:cs="Times New Roman"/>
          <w:sz w:val="24"/>
          <w:szCs w:val="24"/>
          <w:lang w:eastAsia="it-IT"/>
        </w:rPr>
      </w:pPr>
    </w:p>
    <w:p w14:paraId="64D3ECFC" w14:textId="6D514147" w:rsidR="006B655F" w:rsidRDefault="00C805F6" w:rsidP="00A71E38">
      <w:pPr>
        <w:shd w:val="clear" w:color="auto" w:fill="FFFFFF"/>
        <w:jc w:val="left"/>
        <w:textAlignment w:val="baseline"/>
        <w:rPr>
          <w:sz w:val="24"/>
          <w:szCs w:val="24"/>
          <w:rFonts w:eastAsia="Times New Roman" w:cs="Times New Roman"/>
        </w:rPr>
      </w:pPr>
      <w:r>
        <w:rPr>
          <w:sz w:val="24"/>
          <w:szCs w:val="24"/>
        </w:rPr>
        <w:t xml:space="preserve">Al lado de E-Doblò –ya desde la prueba de conducción durante la presentación a los medios celebrada en Milán– está presente Free2move eSolutions y sus soluciones de recarga.</w:t>
      </w:r>
      <w:r>
        <w:rPr>
          <w:sz w:val="24"/>
          <w:szCs w:val="24"/>
        </w:rPr>
        <w:t xml:space="preserve"> </w:t>
      </w:r>
      <w:r>
        <w:rPr>
          <w:sz w:val="24"/>
          <w:szCs w:val="24"/>
        </w:rPr>
        <w:t xml:space="preserve">La primera en absoluto es eProWallbox, la familia completa de dispositivos de carga capaces de satisfacer las múltiples necesidades de los clientes más dispares: tanto los que necesitan cargar sus coches en el garaje de sus casas como los gestores de flotas o los responsables de aparcamientos públicos o privados.</w:t>
      </w:r>
    </w:p>
    <w:p w14:paraId="33E5B735" w14:textId="77777777" w:rsidR="006B655F" w:rsidRDefault="006B655F" w:rsidP="006B655F">
      <w:pPr>
        <w:shd w:val="clear" w:color="auto" w:fill="FFFFFF"/>
        <w:jc w:val="left"/>
        <w:textAlignment w:val="baseline"/>
        <w:rPr>
          <w:rFonts w:eastAsia="Times New Roman" w:cs="Times New Roman"/>
          <w:sz w:val="24"/>
          <w:szCs w:val="24"/>
          <w:lang w:eastAsia="it-IT"/>
        </w:rPr>
      </w:pPr>
    </w:p>
    <w:p w14:paraId="0CA0ECE8" w14:textId="5F15220B" w:rsidR="006B655F" w:rsidRDefault="006B655F" w:rsidP="006B655F">
      <w:pPr>
        <w:shd w:val="clear" w:color="auto" w:fill="FFFFFF"/>
        <w:jc w:val="left"/>
        <w:textAlignment w:val="baseline"/>
        <w:rPr>
          <w:sz w:val="24"/>
          <w:szCs w:val="24"/>
          <w:rFonts w:eastAsia="Times New Roman" w:cs="Times New Roman"/>
        </w:rPr>
      </w:pPr>
      <w:r>
        <w:rPr>
          <w:sz w:val="24"/>
          <w:szCs w:val="24"/>
        </w:rPr>
        <w:t xml:space="preserve">eProWallbox ofrece una gran flexibilidad en términos de funcionalidad y costes.</w:t>
      </w:r>
      <w:r>
        <w:rPr>
          <w:sz w:val="24"/>
          <w:szCs w:val="24"/>
        </w:rPr>
        <w:t xml:space="preserve"> </w:t>
      </w:r>
      <w:r>
        <w:rPr>
          <w:sz w:val="24"/>
          <w:szCs w:val="24"/>
        </w:rPr>
        <w:t xml:space="preserve">Tiene una potencia modulable de 7,4 a 22 kW y permite gestionar la recarga desde remoto directamente desde el teléfono móvil, pero solo a quien está habilitado, gracias al control de los accesos.</w:t>
      </w:r>
    </w:p>
    <w:p w14:paraId="0762CB65" w14:textId="742185E1" w:rsidR="008860D9" w:rsidRDefault="008860D9" w:rsidP="006B655F">
      <w:pPr>
        <w:shd w:val="clear" w:color="auto" w:fill="FFFFFF"/>
        <w:jc w:val="left"/>
        <w:textAlignment w:val="baseline"/>
        <w:rPr>
          <w:rFonts w:eastAsia="Times New Roman" w:cs="Times New Roman"/>
          <w:sz w:val="24"/>
          <w:szCs w:val="24"/>
          <w:lang w:eastAsia="it-IT"/>
        </w:rPr>
      </w:pPr>
    </w:p>
    <w:p w14:paraId="72274D09" w14:textId="07EF7809" w:rsidR="008860D9" w:rsidRDefault="00F65C30" w:rsidP="006B655F">
      <w:pPr>
        <w:shd w:val="clear" w:color="auto" w:fill="FFFFFF"/>
        <w:jc w:val="left"/>
        <w:textAlignment w:val="baseline"/>
        <w:rPr>
          <w:sz w:val="24"/>
          <w:szCs w:val="24"/>
          <w:rFonts w:eastAsia="Times New Roman" w:cs="Times New Roman"/>
        </w:rPr>
      </w:pPr>
      <w:r>
        <w:rPr>
          <w:sz w:val="24"/>
          <w:szCs w:val="24"/>
        </w:rPr>
        <w:t xml:space="preserve">Toda la familia de dispositivos de carga eProWallbox (eProWallbox, eProWallbox Move y eProfessional) ha obtenido la certificación Type Approved TÜV Rheinland, que se suma a todas las certificaciones obligatorias exigidas por la Unión Europea.</w:t>
      </w:r>
      <w:r>
        <w:rPr>
          <w:sz w:val="24"/>
          <w:szCs w:val="24"/>
        </w:rPr>
        <w:t xml:space="preserve"> </w:t>
      </w:r>
      <w:r>
        <w:rPr>
          <w:sz w:val="24"/>
          <w:szCs w:val="24"/>
        </w:rPr>
        <w:t xml:space="preserve">Además, los entes técnicos de Stellantis han validado oficialmente las eProWallbox y son perfectamente compatibles con todos los vehículos eléctricos e híbridos plug-in del grupo.</w:t>
      </w:r>
      <w:r>
        <w:rPr>
          <w:sz w:val="24"/>
          <w:szCs w:val="24"/>
        </w:rPr>
        <w:t xml:space="preserve"> </w:t>
      </w:r>
      <w:r>
        <w:rPr>
          <w:sz w:val="24"/>
          <w:szCs w:val="24"/>
        </w:rPr>
        <w:t xml:space="preserve">Gracias a ello, Free2move eSolutions se confirma como uno de los fabricantes europeos de EVSE (Electric Vehicle Supply Equipment) más preocupados por la seguridad del consumidor.</w:t>
      </w:r>
    </w:p>
    <w:p w14:paraId="3AD2E528" w14:textId="48C59892" w:rsidR="00C805F6" w:rsidRDefault="00C805F6" w:rsidP="006B655F">
      <w:pPr>
        <w:shd w:val="clear" w:color="auto" w:fill="FFFFFF"/>
        <w:jc w:val="left"/>
        <w:textAlignment w:val="baseline"/>
        <w:rPr>
          <w:rFonts w:eastAsia="Times New Roman" w:cs="Times New Roman"/>
          <w:sz w:val="24"/>
          <w:szCs w:val="24"/>
          <w:lang w:eastAsia="it-IT"/>
        </w:rPr>
      </w:pPr>
    </w:p>
    <w:p w14:paraId="5F7AF114" w14:textId="48C7D74A" w:rsidR="00BB2EBD" w:rsidRDefault="00BB2EBD" w:rsidP="006B655F">
      <w:pPr>
        <w:shd w:val="clear" w:color="auto" w:fill="FFFFFF"/>
        <w:jc w:val="left"/>
        <w:textAlignment w:val="baseline"/>
        <w:rPr>
          <w:sz w:val="24"/>
          <w:szCs w:val="24"/>
          <w:rFonts w:eastAsia="Times New Roman" w:cs="Times New Roman"/>
        </w:rPr>
      </w:pPr>
      <w:bookmarkStart w:id="3" w:name="_Hlk120630677"/>
      <w:r>
        <w:rPr>
          <w:sz w:val="24"/>
          <w:szCs w:val="24"/>
        </w:rPr>
        <w:t xml:space="preserve">Sin embargo, la solución más práctica para recargar hasta dos vehículos al mismo tiempo con una potencia máxima de 44 kW </w:t>
      </w:r>
      <w:bookmarkEnd w:id="3"/>
      <w:r>
        <w:rPr>
          <w:sz w:val="24"/>
          <w:szCs w:val="24"/>
        </w:rPr>
        <w:t xml:space="preserve">es la ePublic, la oferta de Free2move eSolutions ideal para los aparcamientos públicos o con acceso reservado.</w:t>
      </w:r>
      <w:r>
        <w:rPr>
          <w:sz w:val="24"/>
          <w:szCs w:val="24"/>
        </w:rPr>
        <w:t xml:space="preserve"> </w:t>
      </w:r>
      <w:r>
        <w:rPr>
          <w:sz w:val="24"/>
          <w:szCs w:val="24"/>
        </w:rPr>
        <w:t xml:space="preserve">Resistente a cualquier condición atmosférica y a las manipulaciones, incorpora un contador certificado MID (Measuring Instruments Directive) para poder utilizar los datos de consumo con fines fiscales.</w:t>
      </w:r>
    </w:p>
    <w:p w14:paraId="53E8521E" w14:textId="77777777" w:rsidR="00A063EE" w:rsidRDefault="00A063EE" w:rsidP="006B655F">
      <w:pPr>
        <w:shd w:val="clear" w:color="auto" w:fill="FFFFFF"/>
        <w:jc w:val="left"/>
        <w:textAlignment w:val="baseline"/>
        <w:rPr>
          <w:rFonts w:eastAsia="Times New Roman" w:cs="Times New Roman"/>
          <w:sz w:val="24"/>
          <w:szCs w:val="24"/>
          <w:lang w:eastAsia="it-IT"/>
        </w:rPr>
      </w:pPr>
    </w:p>
    <w:p w14:paraId="73CEF82B" w14:textId="2A824AC3" w:rsidR="00A063EE" w:rsidRDefault="00A063EE" w:rsidP="006B655F">
      <w:pPr>
        <w:shd w:val="clear" w:color="auto" w:fill="FFFFFF"/>
        <w:jc w:val="left"/>
        <w:textAlignment w:val="baseline"/>
        <w:rPr>
          <w:sz w:val="24"/>
          <w:szCs w:val="24"/>
          <w:rFonts w:eastAsia="Times New Roman" w:cs="Times New Roman"/>
        </w:rPr>
      </w:pPr>
      <w:r>
        <w:rPr>
          <w:sz w:val="24"/>
          <w:szCs w:val="24"/>
        </w:rPr>
        <w:t xml:space="preserve">Para disfrutar al máximo de la libertad y recargar el nuevo E-Doblò on-the-go, Free2move eSolutions ofrece eSolutions Charging, la aplicación diseñada para satisfacer las necesidades tanto de quienes dan sus primeros pasos en la eMobility como de quien necesita aprovechar con mayor frecuencia la movilidad eléctrica “fuera de casa”.</w:t>
      </w:r>
    </w:p>
    <w:p w14:paraId="637AEC36" w14:textId="7DC4B77E" w:rsidR="00A063EE" w:rsidRDefault="00A063EE" w:rsidP="006B655F">
      <w:pPr>
        <w:shd w:val="clear" w:color="auto" w:fill="FFFFFF"/>
        <w:jc w:val="left"/>
        <w:textAlignment w:val="baseline"/>
        <w:rPr>
          <w:rFonts w:eastAsia="Times New Roman" w:cs="Times New Roman"/>
          <w:sz w:val="24"/>
          <w:szCs w:val="24"/>
          <w:lang w:eastAsia="it-IT"/>
        </w:rPr>
      </w:pPr>
    </w:p>
    <w:p w14:paraId="7CCFC44F" w14:textId="201AEBF4" w:rsidR="00A063EE" w:rsidRPr="00A063EE" w:rsidRDefault="00A063EE" w:rsidP="00D5603C">
      <w:pPr>
        <w:shd w:val="clear" w:color="auto" w:fill="FFFFFF"/>
        <w:jc w:val="left"/>
        <w:textAlignment w:val="baseline"/>
        <w:rPr>
          <w:sz w:val="24"/>
          <w:szCs w:val="24"/>
          <w:rFonts w:eastAsia="Times New Roman" w:cs="Times New Roman"/>
        </w:rPr>
      </w:pPr>
      <w:r>
        <w:rPr>
          <w:sz w:val="24"/>
          <w:szCs w:val="24"/>
        </w:rPr>
        <w:t xml:space="preserve">eSolutions Charging garantiza una cobertura en 29 países y más de 360 mil puntos de recarga.</w:t>
      </w:r>
      <w:r>
        <w:rPr>
          <w:sz w:val="24"/>
          <w:szCs w:val="24"/>
        </w:rPr>
        <w:t xml:space="preserve"> </w:t>
      </w:r>
      <w:r>
        <w:rPr>
          <w:sz w:val="24"/>
          <w:szCs w:val="24"/>
        </w:rPr>
        <w:t xml:space="preserve">Con esta aplicación es posible recargar y también gestionar todas las actividades relacionadas con la recarga del E-Doblò.</w:t>
      </w:r>
      <w:r>
        <w:rPr>
          <w:sz w:val="24"/>
          <w:szCs w:val="24"/>
        </w:rPr>
        <w:t xml:space="preserve"> </w:t>
      </w:r>
      <w:r>
        <w:rPr>
          <w:sz w:val="24"/>
          <w:szCs w:val="24"/>
        </w:rPr>
        <w:t xml:space="preserve">Los usuarios pueden elegir dos opciones distintas.</w:t>
      </w:r>
      <w:r>
        <w:rPr>
          <w:sz w:val="24"/>
          <w:szCs w:val="24"/>
        </w:rPr>
        <w:t xml:space="preserve"> </w:t>
      </w:r>
      <w:r>
        <w:rPr>
          <w:sz w:val="24"/>
          <w:szCs w:val="24"/>
        </w:rPr>
        <w:t xml:space="preserve">“Pay as you move Beginner” está dedicada a quienes dan sus primeros pasos en la movilidad eléctrica y recargan de manera ocasional. Se puede acceder a la red de recarga por un importe de 90 céntimos de euro por sesión.</w:t>
      </w:r>
    </w:p>
    <w:p w14:paraId="4D0EE3A6" w14:textId="77777777" w:rsidR="00A063EE" w:rsidRDefault="00A063EE" w:rsidP="006B655F">
      <w:pPr>
        <w:shd w:val="clear" w:color="auto" w:fill="FFFFFF"/>
        <w:jc w:val="left"/>
        <w:textAlignment w:val="baseline"/>
        <w:rPr>
          <w:rFonts w:eastAsia="Times New Roman" w:cs="Times New Roman"/>
          <w:sz w:val="24"/>
          <w:szCs w:val="24"/>
          <w:lang w:eastAsia="it-IT"/>
        </w:rPr>
      </w:pPr>
    </w:p>
    <w:p w14:paraId="00AAD355" w14:textId="2A87EA2F" w:rsidR="00A063EE" w:rsidRPr="00D5603C" w:rsidRDefault="00D5603C" w:rsidP="00D5603C">
      <w:pPr>
        <w:pStyle w:val="Heading4"/>
        <w:spacing w:before="0"/>
        <w:textAlignment w:val="baseline"/>
        <w:rPr>
          <w:i w:val="0"/>
          <w:iCs w:val="0"/>
          <w:color w:val="auto"/>
          <w:sz w:val="24"/>
          <w:szCs w:val="24"/>
          <w:rFonts w:asciiTheme="minorHAnsi" w:eastAsia="Times New Roman" w:hAnsiTheme="minorHAnsi" w:cs="Times New Roman"/>
        </w:rPr>
      </w:pPr>
      <w:r>
        <w:rPr>
          <w:i w:val="0"/>
          <w:iCs w:val="0"/>
          <w:color w:val="auto"/>
          <w:sz w:val="24"/>
          <w:szCs w:val="24"/>
          <w:rFonts w:asciiTheme="minorHAnsi" w:hAnsiTheme="minorHAnsi"/>
        </w:rPr>
        <w:t xml:space="preserve">“Pay as you move Advanced” es la solución dedicada a aquellos que utilizan la recarga “fuera de casa” con mayor frecuencia y habitualmente y desean aprovechar al máximo las ventajas de la movilidad eléctrica.</w:t>
      </w:r>
      <w:r>
        <w:rPr>
          <w:i w:val="0"/>
          <w:iCs w:val="0"/>
          <w:color w:val="auto"/>
          <w:sz w:val="24"/>
          <w:szCs w:val="24"/>
          <w:rFonts w:asciiTheme="minorHAnsi" w:hAnsiTheme="minorHAnsi"/>
        </w:rPr>
        <w:t xml:space="preserve"> </w:t>
      </w:r>
      <w:r>
        <w:rPr>
          <w:i w:val="0"/>
          <w:iCs w:val="0"/>
          <w:color w:val="auto"/>
          <w:sz w:val="24"/>
          <w:szCs w:val="24"/>
          <w:rFonts w:asciiTheme="minorHAnsi" w:hAnsiTheme="minorHAnsi"/>
        </w:rPr>
        <w:t xml:space="preserve">Se puede acceder a la red de recarga sin gastos de gestión por sesión con un coste mensual de 4,99 euros.</w:t>
      </w:r>
    </w:p>
    <w:p w14:paraId="30CE6EA5" w14:textId="3B2FD6E1" w:rsidR="00A063EE" w:rsidRDefault="00A063EE" w:rsidP="006B655F">
      <w:pPr>
        <w:shd w:val="clear" w:color="auto" w:fill="FFFFFF"/>
        <w:jc w:val="left"/>
        <w:textAlignment w:val="baseline"/>
        <w:rPr>
          <w:rFonts w:eastAsia="Times New Roman" w:cs="Times New Roman"/>
          <w:sz w:val="24"/>
          <w:szCs w:val="24"/>
          <w:lang w:eastAsia="it-IT"/>
        </w:rPr>
      </w:pPr>
    </w:p>
    <w:p w14:paraId="3623001C" w14:textId="080444C6" w:rsidR="00465059" w:rsidRPr="00221DAB" w:rsidRDefault="008860D9" w:rsidP="00221DAB">
      <w:pPr>
        <w:shd w:val="clear" w:color="auto" w:fill="FFFFFF"/>
        <w:jc w:val="left"/>
        <w:textAlignment w:val="baseline"/>
        <w:rPr>
          <w:sz w:val="24"/>
          <w:szCs w:val="24"/>
          <w:rFonts w:eastAsia="Times New Roman" w:cs="Times New Roman"/>
        </w:rPr>
      </w:pPr>
      <w:r>
        <w:rPr>
          <w:sz w:val="24"/>
          <w:szCs w:val="24"/>
        </w:rPr>
        <w:t xml:space="preserve">Para Costantino Fassino, jefe de operaciones comerciales de Free2move eSolutions, “estar al lado de un modelo importante como el Doblò representa nuestra voluntad de acompañar tanto a la marca en su camino de rápido crecimiento hacia una gama completamente eléctrica como a los clientes para ayudarles a superar la llamada ansia de recarga, con ofertas inteligentes, a medida y convenientes”.</w:t>
      </w:r>
    </w:p>
    <w:p w14:paraId="15890152" w14:textId="77777777" w:rsidR="00465059" w:rsidRPr="00221DAB" w:rsidRDefault="00465059" w:rsidP="00CF1DBC">
      <w:pPr>
        <w:shd w:val="clear" w:color="auto" w:fill="FFFFFF"/>
        <w:jc w:val="left"/>
        <w:textAlignment w:val="baseline"/>
        <w:rPr>
          <w:rFonts w:eastAsia="Times New Roman" w:cs="Times New Roman"/>
          <w:sz w:val="24"/>
          <w:szCs w:val="24"/>
          <w:lang w:eastAsia="it-IT"/>
        </w:rPr>
      </w:pPr>
    </w:p>
    <w:bookmarkEnd w:id="0"/>
    <w:p w14:paraId="37DA3B81" w14:textId="12A34266" w:rsidR="00C23E9E" w:rsidRDefault="00781C7B" w:rsidP="00CF1DBC">
      <w:pPr>
        <w:pStyle w:val="xmsonormal"/>
        <w:spacing w:before="0" w:beforeAutospacing="0" w:after="0" w:afterAutospacing="0"/>
        <w:rPr>
          <w:rFonts w:asciiTheme="minorHAnsi" w:hAnsiTheme="minorHAnsi"/>
        </w:rPr>
      </w:pPr>
      <w:r>
        <w:rPr>
          <w:rFonts w:asciiTheme="minorHAnsi" w:hAnsiTheme="minorHAnsi"/>
        </w:rPr>
        <w:t xml:space="preserve">***</w:t>
      </w:r>
    </w:p>
    <w:p w14:paraId="1C3703DF" w14:textId="77777777" w:rsidR="00221DAB" w:rsidRPr="00221DAB" w:rsidRDefault="00221DAB" w:rsidP="00CF1DBC">
      <w:pPr>
        <w:pStyle w:val="xmsonormal"/>
        <w:spacing w:before="0" w:beforeAutospacing="0" w:after="0" w:afterAutospacing="0"/>
        <w:rPr>
          <w:rFonts w:asciiTheme="minorHAnsi" w:hAnsiTheme="minorHAnsi"/>
        </w:rPr>
      </w:pPr>
    </w:p>
    <w:bookmarkEnd w:id="1"/>
    <w:p w14:paraId="1782F847" w14:textId="77777777" w:rsidR="00F65C30" w:rsidRPr="00345CF9" w:rsidRDefault="00F65C30" w:rsidP="00F65C30">
      <w:pPr>
        <w:pBdr>
          <w:top w:val="nil"/>
          <w:left w:val="nil"/>
          <w:bottom w:val="nil"/>
          <w:right w:val="nil"/>
          <w:between w:val="nil"/>
        </w:pBdr>
        <w:rPr>
          <w:bCs/>
          <w:color w:val="00B388"/>
          <w:sz w:val="20"/>
          <w:szCs w:val="20"/>
          <w:rFonts w:ascii="Open Sans" w:hAnsi="Open Sans" w:cs="Open Sans"/>
        </w:rPr>
      </w:pPr>
      <w:r>
        <w:rPr>
          <w:b/>
          <w:color w:val="00B388"/>
          <w:sz w:val="20"/>
          <w:szCs w:val="20"/>
          <w:rFonts w:ascii="Open Sans" w:hAnsi="Open Sans"/>
        </w:rPr>
        <w:t xml:space="preserve">Free2move &amp; Free2move eSolutions</w:t>
      </w:r>
    </w:p>
    <w:p w14:paraId="167B8AD8" w14:textId="77777777" w:rsidR="00F65C30" w:rsidRPr="00345CF9" w:rsidRDefault="00F65C30" w:rsidP="00F65C30">
      <w:pPr>
        <w:shd w:val="clear" w:color="auto" w:fill="FFFFFF"/>
        <w:rPr>
          <w:rStyle w:val="normaltextrun"/>
        </w:rPr>
      </w:pPr>
      <w:r>
        <w:rPr>
          <w:rStyle w:val="normaltextrun"/>
          <w:color w:val="000000"/>
          <w:b/>
          <w:bCs/>
          <w:rFonts w:ascii="Open Sans" w:hAnsi="Open Sans"/>
        </w:rPr>
        <w:t xml:space="preserve">Free2move</w:t>
      </w:r>
      <w:r>
        <w:rPr>
          <w:rStyle w:val="normaltextrun"/>
          <w:color w:val="000000"/>
          <w:rFonts w:ascii="Open Sans" w:hAnsi="Open Sans"/>
        </w:rPr>
        <w:t xml:space="preserve"> es una marca global de movilidad que ofrece un ecosistema completo y único para sus clientes particulares y profesionales en todo el mundo.</w:t>
      </w:r>
      <w:r>
        <w:rPr>
          <w:rStyle w:val="normaltextrun"/>
          <w:color w:val="000000"/>
          <w:rFonts w:ascii="Open Sans" w:hAnsi="Open Sans"/>
        </w:rPr>
        <w:t xml:space="preserve"> </w:t>
      </w:r>
      <w:r>
        <w:rPr>
          <w:rStyle w:val="normaltextrun"/>
          <w:color w:val="000000"/>
          <w:rFonts w:ascii="Open Sans" w:hAnsi="Open Sans"/>
        </w:rPr>
        <w:t xml:space="preserve">A partir de los datos y la tecnología, Free2move convierte la experiencia del cliente en el centro de su actividad, para reinventar la movilidad y facilitar la transición a la movilidad eléctrica.</w:t>
      </w:r>
    </w:p>
    <w:p w14:paraId="1C8A4C26" w14:textId="77777777" w:rsidR="00F65C30" w:rsidRPr="00345CF9" w:rsidRDefault="00F65C30" w:rsidP="00F65C30">
      <w:pPr>
        <w:shd w:val="clear" w:color="auto" w:fill="FFFFFF"/>
        <w:rPr>
          <w:rStyle w:val="normaltextrun"/>
          <w:rFonts w:ascii="Open Sans" w:hAnsi="Open Sans" w:cs="Open Sans"/>
        </w:rPr>
      </w:pPr>
      <w:r>
        <w:rPr>
          <w:rStyle w:val="normaltextrun"/>
          <w:color w:val="000000"/>
          <w:b/>
          <w:bCs/>
          <w:rFonts w:ascii="Open Sans" w:hAnsi="Open Sans"/>
        </w:rPr>
        <w:t xml:space="preserve">Free2move eSolutions</w:t>
      </w:r>
      <w:r>
        <w:rPr>
          <w:rStyle w:val="normaltextrun"/>
          <w:color w:val="000000"/>
          <w:rFonts w:ascii="Open Sans" w:hAnsi="Open Sans"/>
        </w:rPr>
        <w:t xml:space="preserve"> es una empresa conjunta entre Stellantis y NHOA, creada para apoyar y fomentar la transición a la movilidad eléctrica, desempeñando un papel activo en la consecución de una movilidad accesible y limpia.</w:t>
      </w:r>
      <w:r>
        <w:rPr>
          <w:rStyle w:val="normaltextrun"/>
          <w:color w:val="000000"/>
          <w:rFonts w:ascii="Open Sans" w:hAnsi="Open Sans"/>
        </w:rPr>
        <w:t xml:space="preserve"> </w:t>
      </w:r>
      <w:r>
        <w:rPr>
          <w:rStyle w:val="normaltextrun"/>
          <w:color w:val="000000"/>
          <w:rFonts w:ascii="Open Sans" w:hAnsi="Open Sans"/>
        </w:rPr>
        <w:t xml:space="preserve">Para ello, ofrece productos y servicios innovadores y a medida para diferentes tipos de clientes, que contribuyen a la reducción de las emisiones de CO2.</w:t>
      </w:r>
    </w:p>
    <w:p w14:paraId="009812D1" w14:textId="77777777" w:rsidR="00F65C30" w:rsidRPr="00345CF9" w:rsidRDefault="00F65C30" w:rsidP="00F65C30">
      <w:pPr>
        <w:shd w:val="clear" w:color="auto" w:fill="FFFFFF"/>
        <w:jc w:val="left"/>
        <w:rPr>
          <w:bCs/>
          <w:rFonts w:cs="Open Sans"/>
        </w:rPr>
      </w:pPr>
      <w:r>
        <w:rPr>
          <w:rStyle w:val="normaltextrun"/>
          <w:bCs/>
        </w:rPr>
        <w:t xml:space="preserve">Visita nuestros sitios web: </w:t>
      </w:r>
      <w:hyperlink r:id="rId11" w:history="1">
        <w:r>
          <w:rPr>
            <w:rStyle w:val="Hyperlink"/>
          </w:rPr>
          <w:t xml:space="preserve">www.free2move.com</w:t>
        </w:r>
      </w:hyperlink>
      <w:r>
        <w:rPr>
          <w:rStyle w:val="normaltextrun"/>
          <w:bCs/>
        </w:rPr>
        <w:t xml:space="preserve">, </w:t>
      </w:r>
      <w:r>
        <w:rPr>
          <w:rStyle w:val="Hyperlink"/>
        </w:rPr>
        <w:t xml:space="preserve">www.esolutions.free2move.com</w:t>
      </w:r>
      <w:r>
        <w:rPr>
          <w:rStyle w:val="normaltextrun"/>
          <w:bCs/>
        </w:rPr>
        <w:t xml:space="preserve">.</w:t>
      </w:r>
    </w:p>
    <w:p w14:paraId="65169A90" w14:textId="77777777" w:rsidR="00F65C30" w:rsidRPr="00345CF9" w:rsidRDefault="00F65C30" w:rsidP="00F65C30">
      <w:pPr>
        <w:jc w:val="left"/>
        <w:rPr>
          <w:rFonts w:cs="Open San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F65C30" w:rsidRPr="00345CF9" w14:paraId="62ADFB09" w14:textId="77777777" w:rsidTr="00C56832">
        <w:trPr>
          <w:trHeight w:val="454"/>
        </w:trPr>
        <w:tc>
          <w:tcPr>
            <w:tcW w:w="610" w:type="dxa"/>
          </w:tcPr>
          <w:p w14:paraId="2F3480D3"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3AFF5475" wp14:editId="7057D5EE">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0C3EDCEC" w14:textId="77777777" w:rsidR="00F65C30" w:rsidRPr="00345CF9" w:rsidRDefault="00975B85" w:rsidP="00C56832">
            <w:pPr>
              <w:shd w:val="clear" w:color="auto" w:fill="FFFFFF"/>
              <w:jc w:val="left"/>
              <w:textAlignment w:val="baseline"/>
              <w:rPr>
                <w:color w:val="073763"/>
                <w:rFonts w:eastAsia="Times New Roman" w:cs="Open Sans"/>
              </w:rPr>
            </w:pPr>
            <w:hyperlink r:id="rId13" w:history="1">
              <w:r>
                <w:rPr>
                  <w:rStyle w:val="Hyperlink"/>
                </w:rPr>
                <w:t xml:space="preserve">Síguenos en LinkedIn</w:t>
              </w:r>
            </w:hyperlink>
          </w:p>
        </w:tc>
      </w:tr>
      <w:tr w:rsidR="00F65C30" w:rsidRPr="00345CF9" w14:paraId="0D4247C7" w14:textId="77777777" w:rsidTr="00C56832">
        <w:trPr>
          <w:trHeight w:val="454"/>
        </w:trPr>
        <w:tc>
          <w:tcPr>
            <w:tcW w:w="610" w:type="dxa"/>
          </w:tcPr>
          <w:p w14:paraId="4784760A"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74B70BF6" wp14:editId="2D52C9FD">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FB13B72" w14:textId="77777777" w:rsidR="00F65C30" w:rsidRPr="00345CF9" w:rsidRDefault="00975B85" w:rsidP="00C56832">
            <w:pPr>
              <w:shd w:val="clear" w:color="auto" w:fill="FFFFFF"/>
              <w:jc w:val="left"/>
              <w:textAlignment w:val="baseline"/>
              <w:rPr>
                <w:color w:val="073763"/>
                <w:rFonts w:eastAsia="Times New Roman" w:cs="Open Sans"/>
              </w:rPr>
            </w:pPr>
            <w:hyperlink r:id="rId15" w:history="1">
              <w:r>
                <w:rPr>
                  <w:rStyle w:val="Hyperlink"/>
                </w:rPr>
                <w:t xml:space="preserve">Síguenos en Facebook</w:t>
              </w:r>
            </w:hyperlink>
          </w:p>
        </w:tc>
      </w:tr>
      <w:tr w:rsidR="00F65C30" w:rsidRPr="00345CF9" w14:paraId="5040DE0A" w14:textId="77777777" w:rsidTr="00C56832">
        <w:trPr>
          <w:trHeight w:val="454"/>
        </w:trPr>
        <w:tc>
          <w:tcPr>
            <w:tcW w:w="610" w:type="dxa"/>
          </w:tcPr>
          <w:p w14:paraId="42C85C15" w14:textId="77777777" w:rsidR="00F65C30" w:rsidRPr="00345CF9" w:rsidRDefault="00F65C30" w:rsidP="00C56832">
            <w:pPr>
              <w:jc w:val="left"/>
              <w:textAlignment w:val="baseline"/>
              <w:rPr>
                <w:noProof/>
                <w:color w:val="073763"/>
                <w:rFonts w:ascii="Open Sans" w:eastAsia="Times New Roman" w:hAnsi="Open Sans" w:cs="Open Sans"/>
              </w:rPr>
            </w:pPr>
            <w:r>
              <w:rPr>
                <w:color w:val="073763"/>
                <w:rFonts w:ascii="Open Sans" w:hAnsi="Open Sans"/>
              </w:rPr>
              <w:drawing>
                <wp:inline distT="0" distB="0" distL="0" distR="0" wp14:anchorId="5C1BBEDB" wp14:editId="2F75D07F">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B8173B6" w14:textId="77777777" w:rsidR="00F65C30" w:rsidRPr="00345CF9" w:rsidRDefault="00975B85" w:rsidP="00C56832">
            <w:pPr>
              <w:shd w:val="clear" w:color="auto" w:fill="FFFFFF"/>
              <w:jc w:val="left"/>
              <w:textAlignment w:val="baseline"/>
            </w:pPr>
            <w:hyperlink r:id="rId17" w:history="1">
              <w:r>
                <w:rPr>
                  <w:rStyle w:val="Hyperlink"/>
                </w:rPr>
                <w:t xml:space="preserve">Síguenos en Instagram</w:t>
              </w:r>
            </w:hyperlink>
          </w:p>
        </w:tc>
      </w:tr>
      <w:tr w:rsidR="00F65C30" w:rsidRPr="00345CF9" w14:paraId="6B56DE41" w14:textId="77777777" w:rsidTr="00C56832">
        <w:trPr>
          <w:trHeight w:val="454"/>
        </w:trPr>
        <w:tc>
          <w:tcPr>
            <w:tcW w:w="610" w:type="dxa"/>
          </w:tcPr>
          <w:p w14:paraId="63930610"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55CC520E" wp14:editId="1A74CC96">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A5C8B40" w14:textId="77777777" w:rsidR="00F65C30" w:rsidRPr="00345CF9" w:rsidRDefault="00975B85" w:rsidP="00C56832">
            <w:pPr>
              <w:jc w:val="left"/>
              <w:textAlignment w:val="baseline"/>
              <w:rPr>
                <w:color w:val="073763"/>
                <w:rFonts w:eastAsia="Times New Roman" w:cs="Open Sans"/>
              </w:rPr>
            </w:pPr>
            <w:hyperlink r:id="rId19" w:history="1">
              <w:r>
                <w:rPr>
                  <w:rStyle w:val="Hyperlink"/>
                </w:rPr>
                <w:t xml:space="preserve">Síguenos en YouTube</w:t>
              </w:r>
            </w:hyperlink>
          </w:p>
        </w:tc>
      </w:tr>
    </w:tbl>
    <w:p w14:paraId="7E9952CE" w14:textId="77777777" w:rsidR="00F65C30" w:rsidRDefault="00F65C30" w:rsidP="00F65C30">
      <w:pPr>
        <w:shd w:val="clear" w:color="auto" w:fill="FFFFFF"/>
        <w:jc w:val="left"/>
        <w:textAlignment w:val="baseline"/>
        <w:rPr>
          <w:rFonts w:eastAsia="Times New Roman" w:cs="Open Sans"/>
          <w:b/>
          <w:bCs/>
          <w:color w:val="000000"/>
          <w:bdr w:val="none" w:sz="0" w:space="0" w:color="auto" w:frame="1"/>
          <w:lang w:eastAsia="it-IT"/>
        </w:rPr>
      </w:pPr>
    </w:p>
    <w:p w14:paraId="5B0A97F4" w14:textId="77777777" w:rsidR="00F65C30" w:rsidRPr="00345CF9" w:rsidRDefault="00F65C30" w:rsidP="00F65C30">
      <w:pPr>
        <w:shd w:val="clear" w:color="auto" w:fill="FFFFFF"/>
        <w:jc w:val="left"/>
        <w:textAlignment w:val="baseline"/>
        <w:rPr>
          <w:color w:val="073763"/>
          <w:sz w:val="20"/>
          <w:szCs w:val="20"/>
          <w:rFonts w:eastAsia="Times New Roman" w:cs="Open Sans"/>
        </w:rPr>
      </w:pPr>
      <w:r>
        <w:rPr>
          <w:b/>
          <w:bCs/>
          <w:color w:val="000000"/>
          <w:sz w:val="20"/>
          <w:szCs w:val="20"/>
          <w:bdr w:val="none" w:sz="0" w:space="0" w:color="auto" w:frame="1"/>
        </w:rPr>
        <w:t xml:space="preserve">Contactos:</w:t>
      </w:r>
    </w:p>
    <w:p w14:paraId="407453DE" w14:textId="77777777" w:rsidR="00F65C30" w:rsidRPr="00345CF9" w:rsidRDefault="00F65C30" w:rsidP="00F65C30">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Hyperlink"/>
          </w:rPr>
          <w:t xml:space="preserve">natalia.helueni@f2m-esolutions.com</w:t>
        </w:r>
      </w:hyperlink>
    </w:p>
    <w:p w14:paraId="49C23886" w14:textId="77777777" w:rsidR="00F65C30" w:rsidRPr="00345CF9" w:rsidRDefault="00F65C30" w:rsidP="00F65C30">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p>
    <w:p w14:paraId="4E92F6D7" w14:textId="5705E083" w:rsidR="00E3340C" w:rsidRPr="00C23E9E" w:rsidRDefault="00E3340C" w:rsidP="00F65C30">
      <w:pPr>
        <w:pStyle w:val="xmsonormal"/>
        <w:spacing w:before="0" w:beforeAutospacing="0" w:after="0" w:afterAutospacing="0"/>
        <w:rPr>
          <w:rFonts w:cs="Open Sans"/>
        </w:rPr>
      </w:pPr>
    </w:p>
    <w:sectPr w:rsidR="00E3340C" w:rsidRPr="00C23E9E" w:rsidSect="00FA0107">
      <w:headerReference w:type="default" r:id="rId23"/>
      <w:footerReference w:type="default" r:id="rId24"/>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53D9B" w14:textId="77777777" w:rsidR="00E04E51" w:rsidRDefault="00E04E51" w:rsidP="00881F66">
      <w:r>
        <w:separator/>
      </w:r>
    </w:p>
  </w:endnote>
  <w:endnote w:type="continuationSeparator" w:id="0">
    <w:p w14:paraId="0A93893F" w14:textId="77777777" w:rsidR="00E04E51" w:rsidRDefault="00E04E51"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Times New Roman"/>
    <w:charset w:val="00"/>
    <w:family w:val="auto"/>
    <w:pitch w:val="variable"/>
    <w:sig w:usb0="00000001"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1B02" w14:textId="058FE0FA" w:rsidR="00876B2B" w:rsidRDefault="003E6ACF" w:rsidP="00FA0107">
    <w:pPr>
      <w:pStyle w:val="Footer"/>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77EB5" w14:textId="77777777" w:rsidR="00E04E51" w:rsidRDefault="00E04E51" w:rsidP="00881F66">
      <w:r>
        <w:separator/>
      </w:r>
    </w:p>
  </w:footnote>
  <w:footnote w:type="continuationSeparator" w:id="0">
    <w:p w14:paraId="2CED6386" w14:textId="77777777" w:rsidR="00E04E51" w:rsidRDefault="00E04E51" w:rsidP="0088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50A3" w14:textId="72A803E7" w:rsidR="00881F66" w:rsidRDefault="00C23E9E" w:rsidP="00824E36">
    <w:pPr>
      <w:pStyle w:val="Header"/>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Header"/>
      <w:jc w:val="center"/>
    </w:pPr>
  </w:p>
  <w:p w14:paraId="4A0ACA88" w14:textId="77777777" w:rsidR="00432DFD" w:rsidRDefault="00432DFD" w:rsidP="00881F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66"/>
    <w:rsid w:val="0000540B"/>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20AD"/>
    <w:rsid w:val="00193EAC"/>
    <w:rsid w:val="001A2FFC"/>
    <w:rsid w:val="001A3272"/>
    <w:rsid w:val="001B1711"/>
    <w:rsid w:val="001C174B"/>
    <w:rsid w:val="001C324C"/>
    <w:rsid w:val="001D4C77"/>
    <w:rsid w:val="001F5E6C"/>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9E9"/>
    <w:rsid w:val="00275F43"/>
    <w:rsid w:val="002828B3"/>
    <w:rsid w:val="002834B2"/>
    <w:rsid w:val="002D2540"/>
    <w:rsid w:val="002D32B1"/>
    <w:rsid w:val="002F365D"/>
    <w:rsid w:val="002F4FC4"/>
    <w:rsid w:val="00312C02"/>
    <w:rsid w:val="00331CC4"/>
    <w:rsid w:val="00341C05"/>
    <w:rsid w:val="00350600"/>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77DC"/>
    <w:rsid w:val="0044143D"/>
    <w:rsid w:val="004432A0"/>
    <w:rsid w:val="00451C6D"/>
    <w:rsid w:val="00453542"/>
    <w:rsid w:val="00461BC8"/>
    <w:rsid w:val="00462422"/>
    <w:rsid w:val="00464681"/>
    <w:rsid w:val="00465059"/>
    <w:rsid w:val="004811D3"/>
    <w:rsid w:val="00491ABE"/>
    <w:rsid w:val="00494810"/>
    <w:rsid w:val="004A29E8"/>
    <w:rsid w:val="004B0B0B"/>
    <w:rsid w:val="004B1158"/>
    <w:rsid w:val="004C0CE7"/>
    <w:rsid w:val="004E1520"/>
    <w:rsid w:val="004F1097"/>
    <w:rsid w:val="004F1737"/>
    <w:rsid w:val="004F6792"/>
    <w:rsid w:val="0050321E"/>
    <w:rsid w:val="00515D6B"/>
    <w:rsid w:val="0055170B"/>
    <w:rsid w:val="00552B36"/>
    <w:rsid w:val="00557786"/>
    <w:rsid w:val="00567E0E"/>
    <w:rsid w:val="005833C2"/>
    <w:rsid w:val="005958DE"/>
    <w:rsid w:val="00595EE9"/>
    <w:rsid w:val="005A4806"/>
    <w:rsid w:val="005A5F2A"/>
    <w:rsid w:val="005A6CBE"/>
    <w:rsid w:val="005B42CB"/>
    <w:rsid w:val="005D1B7A"/>
    <w:rsid w:val="005D6F7B"/>
    <w:rsid w:val="005D7F76"/>
    <w:rsid w:val="005E2238"/>
    <w:rsid w:val="005F101C"/>
    <w:rsid w:val="00601065"/>
    <w:rsid w:val="006117C6"/>
    <w:rsid w:val="00616E32"/>
    <w:rsid w:val="00620415"/>
    <w:rsid w:val="00635491"/>
    <w:rsid w:val="00646A63"/>
    <w:rsid w:val="00656293"/>
    <w:rsid w:val="0066095F"/>
    <w:rsid w:val="00670429"/>
    <w:rsid w:val="006811E7"/>
    <w:rsid w:val="0069271E"/>
    <w:rsid w:val="006A07D9"/>
    <w:rsid w:val="006A37DE"/>
    <w:rsid w:val="006B655F"/>
    <w:rsid w:val="006C1EFC"/>
    <w:rsid w:val="006C489B"/>
    <w:rsid w:val="006C7ED3"/>
    <w:rsid w:val="006D2D98"/>
    <w:rsid w:val="006D7CCF"/>
    <w:rsid w:val="00703500"/>
    <w:rsid w:val="007070E7"/>
    <w:rsid w:val="0072432E"/>
    <w:rsid w:val="0072630E"/>
    <w:rsid w:val="007433E5"/>
    <w:rsid w:val="00743FDD"/>
    <w:rsid w:val="00754D6A"/>
    <w:rsid w:val="00763A15"/>
    <w:rsid w:val="00767DD7"/>
    <w:rsid w:val="00771BC2"/>
    <w:rsid w:val="00776011"/>
    <w:rsid w:val="00781C7B"/>
    <w:rsid w:val="00784C52"/>
    <w:rsid w:val="007A2C6E"/>
    <w:rsid w:val="007A317B"/>
    <w:rsid w:val="007A4965"/>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65890"/>
    <w:rsid w:val="00873DA0"/>
    <w:rsid w:val="00876B2B"/>
    <w:rsid w:val="00881F66"/>
    <w:rsid w:val="008860D9"/>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5B85"/>
    <w:rsid w:val="0097695A"/>
    <w:rsid w:val="009777E7"/>
    <w:rsid w:val="0098132F"/>
    <w:rsid w:val="00995B16"/>
    <w:rsid w:val="00997122"/>
    <w:rsid w:val="00997733"/>
    <w:rsid w:val="009A0B8B"/>
    <w:rsid w:val="009B0F40"/>
    <w:rsid w:val="009B11E6"/>
    <w:rsid w:val="009B4E90"/>
    <w:rsid w:val="009F1670"/>
    <w:rsid w:val="009F6194"/>
    <w:rsid w:val="00A04E0B"/>
    <w:rsid w:val="00A063EE"/>
    <w:rsid w:val="00A074C1"/>
    <w:rsid w:val="00A2499F"/>
    <w:rsid w:val="00A253DC"/>
    <w:rsid w:val="00A337C2"/>
    <w:rsid w:val="00A40B4E"/>
    <w:rsid w:val="00A6131A"/>
    <w:rsid w:val="00A70453"/>
    <w:rsid w:val="00A71E38"/>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F8B"/>
    <w:rsid w:val="00B773F0"/>
    <w:rsid w:val="00B847B4"/>
    <w:rsid w:val="00B85EAA"/>
    <w:rsid w:val="00B87899"/>
    <w:rsid w:val="00B903A3"/>
    <w:rsid w:val="00B91F87"/>
    <w:rsid w:val="00B93C13"/>
    <w:rsid w:val="00BB2EBD"/>
    <w:rsid w:val="00BB59E6"/>
    <w:rsid w:val="00BB75DB"/>
    <w:rsid w:val="00BC1ECD"/>
    <w:rsid w:val="00BC6A1D"/>
    <w:rsid w:val="00BD3CA6"/>
    <w:rsid w:val="00BD4BFD"/>
    <w:rsid w:val="00BF7174"/>
    <w:rsid w:val="00C0056E"/>
    <w:rsid w:val="00C0498F"/>
    <w:rsid w:val="00C12F4F"/>
    <w:rsid w:val="00C13BC3"/>
    <w:rsid w:val="00C1562D"/>
    <w:rsid w:val="00C166B0"/>
    <w:rsid w:val="00C23E9E"/>
    <w:rsid w:val="00C241F8"/>
    <w:rsid w:val="00C25C82"/>
    <w:rsid w:val="00C51283"/>
    <w:rsid w:val="00C537E5"/>
    <w:rsid w:val="00C5497D"/>
    <w:rsid w:val="00C71409"/>
    <w:rsid w:val="00C71F3B"/>
    <w:rsid w:val="00C8044E"/>
    <w:rsid w:val="00C804B2"/>
    <w:rsid w:val="00C805F6"/>
    <w:rsid w:val="00C909ED"/>
    <w:rsid w:val="00CA3007"/>
    <w:rsid w:val="00CB38A9"/>
    <w:rsid w:val="00CC0003"/>
    <w:rsid w:val="00CC29CD"/>
    <w:rsid w:val="00CC35FA"/>
    <w:rsid w:val="00CD4734"/>
    <w:rsid w:val="00CD6BF2"/>
    <w:rsid w:val="00CE01F8"/>
    <w:rsid w:val="00CE561D"/>
    <w:rsid w:val="00CF1DBC"/>
    <w:rsid w:val="00D031FA"/>
    <w:rsid w:val="00D0379F"/>
    <w:rsid w:val="00D17D07"/>
    <w:rsid w:val="00D26AD5"/>
    <w:rsid w:val="00D279F7"/>
    <w:rsid w:val="00D35E21"/>
    <w:rsid w:val="00D4425A"/>
    <w:rsid w:val="00D53EBD"/>
    <w:rsid w:val="00D5603C"/>
    <w:rsid w:val="00D65228"/>
    <w:rsid w:val="00D760A5"/>
    <w:rsid w:val="00D843D2"/>
    <w:rsid w:val="00D900A1"/>
    <w:rsid w:val="00D9016B"/>
    <w:rsid w:val="00D94199"/>
    <w:rsid w:val="00D96735"/>
    <w:rsid w:val="00D97089"/>
    <w:rsid w:val="00DB1C60"/>
    <w:rsid w:val="00DF454E"/>
    <w:rsid w:val="00DF50DB"/>
    <w:rsid w:val="00E04E51"/>
    <w:rsid w:val="00E12932"/>
    <w:rsid w:val="00E3340C"/>
    <w:rsid w:val="00E36E04"/>
    <w:rsid w:val="00E43118"/>
    <w:rsid w:val="00E557C8"/>
    <w:rsid w:val="00E55A63"/>
    <w:rsid w:val="00E6529A"/>
    <w:rsid w:val="00E6576D"/>
    <w:rsid w:val="00E73B8D"/>
    <w:rsid w:val="00EA2195"/>
    <w:rsid w:val="00EA6DF9"/>
    <w:rsid w:val="00EB132B"/>
    <w:rsid w:val="00EB5FAB"/>
    <w:rsid w:val="00EB689C"/>
    <w:rsid w:val="00EC11B0"/>
    <w:rsid w:val="00EC46FF"/>
    <w:rsid w:val="00ED05AA"/>
    <w:rsid w:val="00ED5DD1"/>
    <w:rsid w:val="00ED78B8"/>
    <w:rsid w:val="00EF2959"/>
    <w:rsid w:val="00EF71D3"/>
    <w:rsid w:val="00F12D9B"/>
    <w:rsid w:val="00F1356C"/>
    <w:rsid w:val="00F20B08"/>
    <w:rsid w:val="00F30E3A"/>
    <w:rsid w:val="00F36DF9"/>
    <w:rsid w:val="00F54E99"/>
    <w:rsid w:val="00F6366F"/>
    <w:rsid w:val="00F65C30"/>
    <w:rsid w:val="00F661B6"/>
    <w:rsid w:val="00F852B1"/>
    <w:rsid w:val="00F875E9"/>
    <w:rsid w:val="00F97C60"/>
    <w:rsid w:val="00FA0107"/>
    <w:rsid w:val="00FA341B"/>
    <w:rsid w:val="00FA4E9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6"/>
        <w:szCs w:val="16"/>
        <w:lang w:val="es-ES"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5F"/>
    <w:pPr>
      <w:jc w:val="both"/>
    </w:pPr>
  </w:style>
  <w:style w:type="paragraph" w:styleId="Heading1">
    <w:name w:val="heading 1"/>
    <w:basedOn w:val="Normal"/>
    <w:next w:val="Normal"/>
    <w:link w:val="Heading1Char"/>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Heading4">
    <w:name w:val="heading 4"/>
    <w:basedOn w:val="Normal"/>
    <w:next w:val="Normal"/>
    <w:link w:val="Heading4Char"/>
    <w:uiPriority w:val="9"/>
    <w:qFormat/>
    <w:rsid w:val="00A063EE"/>
    <w:pPr>
      <w:keepNext/>
      <w:keepLines/>
      <w:spacing w:before="40"/>
      <w:outlineLvl w:val="3"/>
    </w:pPr>
    <w:rPr>
      <w:rFonts w:asciiTheme="majorHAnsi" w:eastAsiaTheme="majorEastAsia" w:hAnsiTheme="majorHAnsi" w:cstheme="majorBidi"/>
      <w:i/>
      <w:iCs/>
      <w:color w:val="1B2961" w:themeColor="accent1" w:themeShade="BF"/>
    </w:rPr>
  </w:style>
  <w:style w:type="paragraph" w:styleId="Heading5">
    <w:name w:val="heading 5"/>
    <w:basedOn w:val="Normal"/>
    <w:next w:val="Normal"/>
    <w:link w:val="Heading5Char"/>
    <w:uiPriority w:val="9"/>
    <w:qFormat/>
    <w:rsid w:val="00A063EE"/>
    <w:pPr>
      <w:keepNext/>
      <w:keepLines/>
      <w:spacing w:before="40"/>
      <w:outlineLvl w:val="4"/>
    </w:pPr>
    <w:rPr>
      <w:rFonts w:asciiTheme="majorHAnsi" w:eastAsiaTheme="majorEastAsia" w:hAnsiTheme="majorHAnsi" w:cstheme="majorBidi"/>
      <w:color w:val="1B29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val="es-ES"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link w:val="ListParagraphChar"/>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UnresolvedMention">
    <w:name w:val="Unresolved Mention"/>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DefaultParagraphFont"/>
    <w:rsid w:val="004007CB"/>
  </w:style>
  <w:style w:type="character" w:styleId="CommentReference">
    <w:name w:val="annotation reference"/>
    <w:basedOn w:val="DefaultParagraphFont"/>
    <w:uiPriority w:val="99"/>
    <w:semiHidden/>
    <w:unhideWhenUsed/>
    <w:rsid w:val="005D6F7B"/>
    <w:rPr>
      <w:sz w:val="16"/>
      <w:szCs w:val="16"/>
    </w:rPr>
  </w:style>
  <w:style w:type="paragraph" w:styleId="CommentText">
    <w:name w:val="annotation text"/>
    <w:basedOn w:val="Normal"/>
    <w:link w:val="CommentTextChar"/>
    <w:uiPriority w:val="99"/>
    <w:unhideWhenUsed/>
    <w:rsid w:val="005D6F7B"/>
    <w:rPr>
      <w:sz w:val="20"/>
      <w:szCs w:val="20"/>
    </w:rPr>
  </w:style>
  <w:style w:type="character" w:customStyle="1" w:styleId="CommentTextChar">
    <w:name w:val="Comment Text Char"/>
    <w:basedOn w:val="DefaultParagraphFont"/>
    <w:link w:val="CommentText"/>
    <w:uiPriority w:val="99"/>
    <w:rsid w:val="005D6F7B"/>
    <w:rPr>
      <w:sz w:val="20"/>
      <w:szCs w:val="20"/>
    </w:rPr>
  </w:style>
  <w:style w:type="paragraph" w:styleId="CommentSubject">
    <w:name w:val="annotation subject"/>
    <w:basedOn w:val="CommentText"/>
    <w:next w:val="CommentText"/>
    <w:link w:val="CommentSubjectChar"/>
    <w:uiPriority w:val="99"/>
    <w:semiHidden/>
    <w:unhideWhenUsed/>
    <w:rsid w:val="005D6F7B"/>
    <w:rPr>
      <w:b/>
      <w:bCs/>
    </w:rPr>
  </w:style>
  <w:style w:type="character" w:customStyle="1" w:styleId="CommentSubjectChar">
    <w:name w:val="Comment Subject Char"/>
    <w:basedOn w:val="CommentTextChar"/>
    <w:link w:val="CommentSubject"/>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Heading1Char">
    <w:name w:val="Heading 1 Char"/>
    <w:basedOn w:val="DefaultParagraphFont"/>
    <w:link w:val="Heading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
    <w:name w:val="Revision"/>
    <w:hidden/>
    <w:uiPriority w:val="99"/>
    <w:semiHidden/>
    <w:rsid w:val="008F181C"/>
  </w:style>
  <w:style w:type="character" w:styleId="Emphasis">
    <w:name w:val="Emphasis"/>
    <w:basedOn w:val="DefaultParagraphFont"/>
    <w:uiPriority w:val="20"/>
    <w:qFormat/>
    <w:rsid w:val="00030C1F"/>
    <w:rPr>
      <w:i/>
      <w:iCs/>
    </w:rPr>
  </w:style>
  <w:style w:type="paragraph" w:customStyle="1" w:styleId="xmsolistparagraph">
    <w:name w:val="x_msolistparagraph"/>
    <w:basedOn w:val="Normal"/>
    <w:rsid w:val="002568E7"/>
    <w:pPr>
      <w:ind w:left="720"/>
      <w:jc w:val="left"/>
    </w:pPr>
    <w:rPr>
      <w:rFonts w:ascii="Calibri" w:hAnsi="Calibri" w:cs="Calibri"/>
      <w:sz w:val="22"/>
      <w:szCs w:val="22"/>
      <w:lang w:eastAsia="it-IT"/>
    </w:rPr>
  </w:style>
  <w:style w:type="paragraph" w:customStyle="1" w:styleId="xtextbody">
    <w:name w:val="x_textbody"/>
    <w:basedOn w:val="Normal"/>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
    <w:rsid w:val="00781C7B"/>
    <w:pPr>
      <w:ind w:left="720"/>
      <w:jc w:val="left"/>
    </w:pPr>
    <w:rPr>
      <w:rFonts w:ascii="Calibri" w:hAnsi="Calibri" w:cs="Calibri"/>
      <w:sz w:val="22"/>
      <w:szCs w:val="22"/>
      <w:lang w:eastAsia="it-IT"/>
    </w:rPr>
  </w:style>
  <w:style w:type="character" w:customStyle="1" w:styleId="ListParagraphChar">
    <w:name w:val="List Paragraph Char"/>
    <w:basedOn w:val="DefaultParagraphFont"/>
    <w:link w:val="ListParagraph"/>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 w:type="character" w:customStyle="1" w:styleId="Heading5Char">
    <w:name w:val="Heading 5 Char"/>
    <w:basedOn w:val="DefaultParagraphFont"/>
    <w:link w:val="Heading5"/>
    <w:uiPriority w:val="9"/>
    <w:rsid w:val="00A063EE"/>
    <w:rPr>
      <w:rFonts w:asciiTheme="majorHAnsi" w:eastAsiaTheme="majorEastAsia" w:hAnsiTheme="majorHAnsi" w:cstheme="majorBidi"/>
      <w:color w:val="1B2961" w:themeColor="accent1" w:themeShade="BF"/>
    </w:rPr>
  </w:style>
  <w:style w:type="paragraph" w:customStyle="1" w:styleId="text-default">
    <w:name w:val="text-default"/>
    <w:basedOn w:val="Normal"/>
    <w:rsid w:val="00A063E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Heading4Char">
    <w:name w:val="Heading 4 Char"/>
    <w:basedOn w:val="DefaultParagraphFont"/>
    <w:link w:val="Heading4"/>
    <w:uiPriority w:val="9"/>
    <w:rsid w:val="00A063EE"/>
    <w:rPr>
      <w:rFonts w:asciiTheme="majorHAnsi" w:eastAsiaTheme="majorEastAsia" w:hAnsiTheme="majorHAnsi" w:cstheme="majorBidi"/>
      <w:i/>
      <w:iCs/>
      <w:color w:val="1B2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1945">
      <w:bodyDiv w:val="1"/>
      <w:marLeft w:val="0"/>
      <w:marRight w:val="0"/>
      <w:marTop w:val="0"/>
      <w:marBottom w:val="0"/>
      <w:divBdr>
        <w:top w:val="none" w:sz="0" w:space="0" w:color="auto"/>
        <w:left w:val="none" w:sz="0" w:space="0" w:color="auto"/>
        <w:bottom w:val="none" w:sz="0" w:space="0" w:color="auto"/>
        <w:right w:val="none" w:sz="0" w:space="0" w:color="auto"/>
      </w:divBdr>
    </w:div>
    <w:div w:id="117721903">
      <w:bodyDiv w:val="1"/>
      <w:marLeft w:val="0"/>
      <w:marRight w:val="0"/>
      <w:marTop w:val="0"/>
      <w:marBottom w:val="0"/>
      <w:divBdr>
        <w:top w:val="none" w:sz="0" w:space="0" w:color="auto"/>
        <w:left w:val="none" w:sz="0" w:space="0" w:color="auto"/>
        <w:bottom w:val="none" w:sz="0" w:space="0" w:color="auto"/>
        <w:right w:val="none" w:sz="0" w:space="0" w:color="auto"/>
      </w:divBdr>
      <w:divsChild>
        <w:div w:id="593783829">
          <w:marLeft w:val="0"/>
          <w:marRight w:val="0"/>
          <w:marTop w:val="0"/>
          <w:marBottom w:val="0"/>
          <w:divBdr>
            <w:top w:val="none" w:sz="0" w:space="0" w:color="auto"/>
            <w:left w:val="none" w:sz="0" w:space="0" w:color="auto"/>
            <w:bottom w:val="none" w:sz="0" w:space="0" w:color="auto"/>
            <w:right w:val="none" w:sz="0" w:space="0" w:color="auto"/>
          </w:divBdr>
        </w:div>
      </w:divsChild>
    </w:div>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22654980">
      <w:bodyDiv w:val="1"/>
      <w:marLeft w:val="0"/>
      <w:marRight w:val="0"/>
      <w:marTop w:val="0"/>
      <w:marBottom w:val="0"/>
      <w:divBdr>
        <w:top w:val="none" w:sz="0" w:space="0" w:color="auto"/>
        <w:left w:val="none" w:sz="0" w:space="0" w:color="auto"/>
        <w:bottom w:val="none" w:sz="0" w:space="0" w:color="auto"/>
        <w:right w:val="none" w:sz="0" w:space="0" w:color="auto"/>
      </w:divBdr>
      <w:divsChild>
        <w:div w:id="220600744">
          <w:marLeft w:val="0"/>
          <w:marRight w:val="0"/>
          <w:marTop w:val="0"/>
          <w:marBottom w:val="0"/>
          <w:divBdr>
            <w:top w:val="none" w:sz="0" w:space="0" w:color="auto"/>
            <w:left w:val="none" w:sz="0" w:space="0" w:color="auto"/>
            <w:bottom w:val="none" w:sz="0" w:space="0" w:color="auto"/>
            <w:right w:val="none" w:sz="0" w:space="0" w:color="auto"/>
          </w:divBdr>
        </w:div>
      </w:divsChild>
    </w:div>
    <w:div w:id="1339382546">
      <w:bodyDiv w:val="1"/>
      <w:marLeft w:val="0"/>
      <w:marRight w:val="0"/>
      <w:marTop w:val="0"/>
      <w:marBottom w:val="0"/>
      <w:divBdr>
        <w:top w:val="none" w:sz="0" w:space="0" w:color="auto"/>
        <w:left w:val="none" w:sz="0" w:space="0" w:color="auto"/>
        <w:bottom w:val="none" w:sz="0" w:space="0" w:color="auto"/>
        <w:right w:val="none" w:sz="0" w:space="0" w:color="auto"/>
      </w:divBdr>
      <w:divsChild>
        <w:div w:id="62606814">
          <w:marLeft w:val="0"/>
          <w:marRight w:val="0"/>
          <w:marTop w:val="0"/>
          <w:marBottom w:val="0"/>
          <w:divBdr>
            <w:top w:val="none" w:sz="0" w:space="0" w:color="auto"/>
            <w:left w:val="none" w:sz="0" w:space="0" w:color="auto"/>
            <w:bottom w:val="none" w:sz="0" w:space="0" w:color="auto"/>
            <w:right w:val="none" w:sz="0" w:space="0" w:color="auto"/>
          </w:divBdr>
          <w:divsChild>
            <w:div w:id="1731075978">
              <w:marLeft w:val="0"/>
              <w:marRight w:val="0"/>
              <w:marTop w:val="0"/>
              <w:marBottom w:val="0"/>
              <w:divBdr>
                <w:top w:val="none" w:sz="0" w:space="0" w:color="auto"/>
                <w:left w:val="none" w:sz="0" w:space="0" w:color="auto"/>
                <w:bottom w:val="none" w:sz="0" w:space="0" w:color="auto"/>
                <w:right w:val="none" w:sz="0" w:space="0" w:color="auto"/>
              </w:divBdr>
            </w:div>
          </w:divsChild>
        </w:div>
        <w:div w:id="737166530">
          <w:marLeft w:val="0"/>
          <w:marRight w:val="0"/>
          <w:marTop w:val="0"/>
          <w:marBottom w:val="0"/>
          <w:divBdr>
            <w:top w:val="none" w:sz="0" w:space="0" w:color="auto"/>
            <w:left w:val="none" w:sz="0" w:space="0" w:color="auto"/>
            <w:bottom w:val="none" w:sz="0" w:space="0" w:color="auto"/>
            <w:right w:val="none" w:sz="0" w:space="0" w:color="auto"/>
          </w:divBdr>
          <w:divsChild>
            <w:div w:id="1364016871">
              <w:marLeft w:val="0"/>
              <w:marRight w:val="0"/>
              <w:marTop w:val="0"/>
              <w:marBottom w:val="0"/>
              <w:divBdr>
                <w:top w:val="none" w:sz="0" w:space="0" w:color="auto"/>
                <w:left w:val="none" w:sz="0" w:space="0" w:color="auto"/>
                <w:bottom w:val="none" w:sz="0" w:space="0" w:color="auto"/>
                <w:right w:val="none" w:sz="0" w:space="0" w:color="auto"/>
              </w:divBdr>
            </w:div>
          </w:divsChild>
        </w:div>
        <w:div w:id="734283323">
          <w:marLeft w:val="0"/>
          <w:marRight w:val="0"/>
          <w:marTop w:val="0"/>
          <w:marBottom w:val="0"/>
          <w:divBdr>
            <w:top w:val="none" w:sz="0" w:space="0" w:color="auto"/>
            <w:left w:val="none" w:sz="0" w:space="0" w:color="auto"/>
            <w:bottom w:val="none" w:sz="0" w:space="0" w:color="auto"/>
            <w:right w:val="none" w:sz="0" w:space="0" w:color="auto"/>
          </w:divBdr>
          <w:divsChild>
            <w:div w:id="18992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20+3933321484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9B9B1-8B28-45EB-B26F-175ED58DFB50}">
  <ds:schemaRefs>
    <ds:schemaRef ds:uri="http://purl.org/dc/terms/"/>
    <ds:schemaRef ds:uri="http://schemas.openxmlformats.org/package/2006/metadata/core-properties"/>
    <ds:schemaRef ds:uri="http://purl.org/dc/dcmitype/"/>
    <ds:schemaRef ds:uri="http://schemas.microsoft.com/office/infopath/2007/PartnerControls"/>
    <ds:schemaRef ds:uri="d6147326-88af-4e08-9e4f-46c006b4f920"/>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4E20F04C-C08E-4AC5-BAC6-CADAC5CA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4433</Characters>
  <Application>Microsoft Office Word</Application>
  <DocSecurity>4</DocSecurity>
  <Lines>85</Lines>
  <Paragraphs>29</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Lidia Casari</cp:lastModifiedBy>
  <cp:revision>2</cp:revision>
  <cp:lastPrinted>2022-11-29T15:22:00Z</cp:lastPrinted>
  <dcterms:created xsi:type="dcterms:W3CDTF">2022-12-02T13:12:00Z</dcterms:created>
  <dcterms:modified xsi:type="dcterms:W3CDTF">2022-12-02T13:12:00Z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